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7198E" w14:textId="77BB6F89" w:rsidR="00136FC0" w:rsidRDefault="003E3355" w:rsidP="003E3355">
      <w:pPr>
        <w:jc w:val="center"/>
      </w:pPr>
      <w:r>
        <w:t xml:space="preserve">DEPARTMENT OF FINANCE AND ADMINISTRATION </w:t>
      </w:r>
    </w:p>
    <w:p w14:paraId="6CB2C458" w14:textId="23AE27A6" w:rsidR="003E3355" w:rsidRDefault="003E3355" w:rsidP="003E3355">
      <w:pPr>
        <w:jc w:val="center"/>
      </w:pPr>
      <w:r>
        <w:t>OFFICE OF ACCOUNTING</w:t>
      </w:r>
    </w:p>
    <w:p w14:paraId="3821BA1C" w14:textId="37139948" w:rsidR="003E3355" w:rsidRDefault="003E3355" w:rsidP="003E3355">
      <w:pPr>
        <w:jc w:val="center"/>
      </w:pPr>
      <w:r>
        <w:t>NON-ENTITLEMENT (NON-METRO) CITIES AND TOWNS</w:t>
      </w:r>
    </w:p>
    <w:p w14:paraId="6F885CE6" w14:textId="763E3185" w:rsidR="003E3355" w:rsidRPr="005B44E2" w:rsidRDefault="003E3355" w:rsidP="003E3355">
      <w:pPr>
        <w:jc w:val="center"/>
      </w:pPr>
      <w:r w:rsidRPr="005B44E2">
        <w:t>FREQUENTLY ASKED QUESTIONS</w:t>
      </w:r>
      <w:r w:rsidR="00657D09" w:rsidRPr="005B44E2">
        <w:t xml:space="preserve"> (FAQ’s)</w:t>
      </w:r>
    </w:p>
    <w:p w14:paraId="0AE5590A" w14:textId="1B95991F" w:rsidR="003E3355" w:rsidRDefault="003E3355" w:rsidP="003E3355">
      <w:pPr>
        <w:jc w:val="center"/>
      </w:pPr>
    </w:p>
    <w:p w14:paraId="226629DD" w14:textId="60AB4C1B" w:rsidR="00E60640" w:rsidRPr="005913E5" w:rsidRDefault="00E60640" w:rsidP="00E60640">
      <w:pPr>
        <w:pStyle w:val="ListParagraph"/>
        <w:numPr>
          <w:ilvl w:val="0"/>
          <w:numId w:val="3"/>
        </w:numPr>
        <w:rPr>
          <w:i/>
          <w:iCs/>
          <w:u w:val="single"/>
        </w:rPr>
      </w:pPr>
      <w:r w:rsidRPr="005913E5">
        <w:rPr>
          <w:u w:val="single"/>
        </w:rPr>
        <w:t xml:space="preserve">Question – What </w:t>
      </w:r>
      <w:r>
        <w:rPr>
          <w:u w:val="single"/>
        </w:rPr>
        <w:t>are the requirement</w:t>
      </w:r>
      <w:r w:rsidR="00F97416">
        <w:rPr>
          <w:u w:val="single"/>
        </w:rPr>
        <w:t>s</w:t>
      </w:r>
      <w:r>
        <w:rPr>
          <w:u w:val="single"/>
        </w:rPr>
        <w:t xml:space="preserve"> for receiving the money</w:t>
      </w:r>
      <w:r w:rsidRPr="005913E5">
        <w:rPr>
          <w:u w:val="single"/>
        </w:rPr>
        <w:t>?</w:t>
      </w:r>
      <w:r w:rsidR="003C43A8">
        <w:rPr>
          <w:u w:val="single"/>
        </w:rPr>
        <w:t xml:space="preserve"> </w:t>
      </w:r>
      <w:r w:rsidR="003C43A8" w:rsidRPr="003C43A8">
        <w:t>(US TREASURY FAQ 11.4)</w:t>
      </w:r>
    </w:p>
    <w:p w14:paraId="4460CAFE" w14:textId="18B2DBF8" w:rsidR="00E60640" w:rsidRDefault="003C43A8" w:rsidP="00E60640">
      <w:pPr>
        <w:ind w:left="720"/>
        <w:rPr>
          <w:i/>
          <w:iCs/>
        </w:rPr>
      </w:pPr>
      <w:r>
        <w:rPr>
          <w:i/>
          <w:iCs/>
        </w:rPr>
        <w:t>DFA</w:t>
      </w:r>
      <w:r w:rsidR="003B6941">
        <w:rPr>
          <w:i/>
          <w:iCs/>
        </w:rPr>
        <w:t>’s</w:t>
      </w:r>
      <w:r>
        <w:rPr>
          <w:i/>
          <w:iCs/>
        </w:rPr>
        <w:t xml:space="preserve"> </w:t>
      </w:r>
      <w:r w:rsidR="00E60640" w:rsidRPr="00731483">
        <w:rPr>
          <w:i/>
          <w:iCs/>
        </w:rPr>
        <w:t xml:space="preserve">Answer – </w:t>
      </w:r>
      <w:r w:rsidR="006907B1">
        <w:rPr>
          <w:i/>
          <w:iCs/>
        </w:rPr>
        <w:t>Submission of the four (4) required document</w:t>
      </w:r>
      <w:r w:rsidR="00F97416">
        <w:rPr>
          <w:i/>
          <w:iCs/>
        </w:rPr>
        <w:t>s</w:t>
      </w:r>
      <w:r w:rsidR="00854AFD">
        <w:rPr>
          <w:i/>
          <w:iCs/>
        </w:rPr>
        <w:t>:</w:t>
      </w:r>
    </w:p>
    <w:p w14:paraId="12923C04" w14:textId="77777777" w:rsidR="003C43A8" w:rsidRPr="003C43A8" w:rsidRDefault="003C43A8" w:rsidP="003C43A8">
      <w:pPr>
        <w:pStyle w:val="ListParagraph"/>
        <w:numPr>
          <w:ilvl w:val="0"/>
          <w:numId w:val="5"/>
        </w:numPr>
        <w:jc w:val="both"/>
        <w:rPr>
          <w:rFonts w:cstheme="minorHAnsi"/>
          <w:sz w:val="24"/>
          <w:szCs w:val="24"/>
        </w:rPr>
      </w:pPr>
      <w:r w:rsidRPr="003C43A8">
        <w:rPr>
          <w:rFonts w:cstheme="minorHAnsi"/>
          <w:sz w:val="24"/>
          <w:szCs w:val="24"/>
        </w:rPr>
        <w:t>Information Form</w:t>
      </w:r>
    </w:p>
    <w:p w14:paraId="7250A81D" w14:textId="77777777" w:rsidR="003C43A8" w:rsidRPr="003C43A8" w:rsidRDefault="003C43A8" w:rsidP="00531209">
      <w:pPr>
        <w:pStyle w:val="ListParagraph"/>
        <w:numPr>
          <w:ilvl w:val="0"/>
          <w:numId w:val="5"/>
        </w:numPr>
        <w:rPr>
          <w:i/>
          <w:iCs/>
        </w:rPr>
      </w:pPr>
      <w:r w:rsidRPr="003C43A8">
        <w:rPr>
          <w:rFonts w:cstheme="minorHAnsi"/>
          <w:sz w:val="24"/>
          <w:szCs w:val="24"/>
        </w:rPr>
        <w:t xml:space="preserve">Budget Information Form </w:t>
      </w:r>
    </w:p>
    <w:p w14:paraId="3940E7DA" w14:textId="28B7525D" w:rsidR="003C43A8" w:rsidRPr="005B44E2" w:rsidRDefault="003C43A8" w:rsidP="003C43A8">
      <w:pPr>
        <w:pStyle w:val="ListParagraph"/>
        <w:numPr>
          <w:ilvl w:val="0"/>
          <w:numId w:val="5"/>
        </w:numPr>
        <w:rPr>
          <w:rFonts w:cstheme="minorHAnsi"/>
          <w:sz w:val="24"/>
          <w:szCs w:val="24"/>
        </w:rPr>
      </w:pPr>
      <w:r w:rsidRPr="005B44E2">
        <w:rPr>
          <w:rFonts w:cstheme="minorHAnsi"/>
          <w:sz w:val="24"/>
          <w:szCs w:val="24"/>
        </w:rPr>
        <w:t>NEU_Awar</w:t>
      </w:r>
      <w:r w:rsidR="00854AFD" w:rsidRPr="005B44E2">
        <w:rPr>
          <w:rFonts w:cstheme="minorHAnsi"/>
          <w:sz w:val="24"/>
          <w:szCs w:val="24"/>
        </w:rPr>
        <w:t>d</w:t>
      </w:r>
      <w:r w:rsidRPr="005B44E2">
        <w:rPr>
          <w:rFonts w:cstheme="minorHAnsi"/>
          <w:sz w:val="24"/>
          <w:szCs w:val="24"/>
        </w:rPr>
        <w:t>_Terms_and_Conditions</w:t>
      </w:r>
    </w:p>
    <w:p w14:paraId="6B432531" w14:textId="65888529" w:rsidR="00531209" w:rsidRPr="00531209" w:rsidRDefault="005B44E2" w:rsidP="00531209">
      <w:pPr>
        <w:pStyle w:val="ListParagraph"/>
        <w:numPr>
          <w:ilvl w:val="1"/>
          <w:numId w:val="5"/>
        </w:numPr>
        <w:rPr>
          <w:i/>
          <w:iCs/>
        </w:rPr>
      </w:pPr>
      <w:hyperlink r:id="rId9" w:history="1">
        <w:r w:rsidR="00531209" w:rsidRPr="00531209">
          <w:rPr>
            <w:rStyle w:val="Hyperlink"/>
            <w:i/>
            <w:iCs/>
          </w:rPr>
          <w:t>Non-entitlement Unit Award Terms and Conditi</w:t>
        </w:r>
        <w:r>
          <w:rPr>
            <w:rStyle w:val="Hyperlink"/>
            <w:i/>
            <w:iCs/>
          </w:rPr>
          <w:t>ons (From U.S. Tre</w:t>
        </w:r>
        <w:r w:rsidR="00531209" w:rsidRPr="00531209">
          <w:rPr>
            <w:rStyle w:val="Hyperlink"/>
            <w:i/>
            <w:iCs/>
          </w:rPr>
          <w:t>asury.gov)</w:t>
        </w:r>
      </w:hyperlink>
    </w:p>
    <w:p w14:paraId="3F26C7D8" w14:textId="77777777" w:rsidR="003C43A8" w:rsidRPr="003C43A8" w:rsidRDefault="003C43A8" w:rsidP="003C43A8">
      <w:pPr>
        <w:pStyle w:val="ListParagraph"/>
        <w:numPr>
          <w:ilvl w:val="0"/>
          <w:numId w:val="5"/>
        </w:numPr>
        <w:rPr>
          <w:rFonts w:cstheme="minorHAnsi"/>
          <w:sz w:val="24"/>
          <w:szCs w:val="24"/>
        </w:rPr>
      </w:pPr>
      <w:r w:rsidRPr="003C43A8">
        <w:rPr>
          <w:rFonts w:cstheme="minorHAnsi"/>
          <w:sz w:val="24"/>
          <w:szCs w:val="24"/>
        </w:rPr>
        <w:t>Title_VI_Assurances</w:t>
      </w:r>
    </w:p>
    <w:p w14:paraId="5725FEE1" w14:textId="67DDC1FE" w:rsidR="002275E4" w:rsidRDefault="005B44E2" w:rsidP="00531209">
      <w:pPr>
        <w:pStyle w:val="ListParagraph"/>
        <w:numPr>
          <w:ilvl w:val="1"/>
          <w:numId w:val="5"/>
        </w:numPr>
        <w:rPr>
          <w:i/>
          <w:iCs/>
        </w:rPr>
      </w:pPr>
      <w:hyperlink r:id="rId10" w:history="1">
        <w:r w:rsidR="00531209" w:rsidRPr="00531209">
          <w:rPr>
            <w:rStyle w:val="Hyperlink"/>
            <w:i/>
            <w:iCs/>
          </w:rPr>
          <w:t xml:space="preserve">Assurances of Compliance with Civil Rights Requirements </w:t>
        </w:r>
        <w:r>
          <w:rPr>
            <w:rStyle w:val="Hyperlink"/>
            <w:i/>
            <w:iCs/>
          </w:rPr>
          <w:t>(From U.S. T</w:t>
        </w:r>
        <w:r w:rsidR="00531209" w:rsidRPr="00531209">
          <w:rPr>
            <w:rStyle w:val="Hyperlink"/>
            <w:i/>
            <w:iCs/>
          </w:rPr>
          <w:t>reasury.gov)</w:t>
        </w:r>
      </w:hyperlink>
    </w:p>
    <w:p w14:paraId="17BE0EAA" w14:textId="77777777" w:rsidR="00531209" w:rsidRPr="00531209" w:rsidRDefault="00531209" w:rsidP="00531209">
      <w:pPr>
        <w:pStyle w:val="ListParagraph"/>
        <w:ind w:left="2160"/>
        <w:rPr>
          <w:i/>
          <w:iCs/>
        </w:rPr>
      </w:pPr>
    </w:p>
    <w:p w14:paraId="3E256AFD" w14:textId="57561192" w:rsidR="00731483" w:rsidRPr="005913E5" w:rsidRDefault="00731483" w:rsidP="003E3355">
      <w:pPr>
        <w:pStyle w:val="ListParagraph"/>
        <w:numPr>
          <w:ilvl w:val="0"/>
          <w:numId w:val="3"/>
        </w:numPr>
        <w:rPr>
          <w:i/>
          <w:iCs/>
          <w:u w:val="single"/>
        </w:rPr>
      </w:pPr>
      <w:r w:rsidRPr="005913E5">
        <w:rPr>
          <w:u w:val="single"/>
        </w:rPr>
        <w:t>Question – What year</w:t>
      </w:r>
      <w:r w:rsidR="007E58E1">
        <w:rPr>
          <w:u w:val="single"/>
        </w:rPr>
        <w:t>’s</w:t>
      </w:r>
      <w:r w:rsidRPr="005913E5">
        <w:rPr>
          <w:u w:val="single"/>
        </w:rPr>
        <w:t xml:space="preserve"> budget should be submitted?</w:t>
      </w:r>
      <w:r w:rsidR="003C43A8" w:rsidRPr="005A5D19">
        <w:t xml:space="preserve"> </w:t>
      </w:r>
      <w:r w:rsidR="003C43A8" w:rsidRPr="003C43A8">
        <w:t xml:space="preserve">(US TREASURY FAQ </w:t>
      </w:r>
      <w:r w:rsidR="003C43A8">
        <w:t>7.3</w:t>
      </w:r>
      <w:r w:rsidR="005A5D19">
        <w:t xml:space="preserve"> &amp; INTERIM REPORT § 35.12(b)</w:t>
      </w:r>
      <w:r w:rsidR="003C43A8" w:rsidRPr="003C43A8">
        <w:t>)</w:t>
      </w:r>
    </w:p>
    <w:p w14:paraId="002BF8F6" w14:textId="2BB3022A" w:rsidR="005A5D19" w:rsidRDefault="003C43A8" w:rsidP="003C43A8">
      <w:pPr>
        <w:pStyle w:val="NoSpacing"/>
        <w:ind w:left="720"/>
        <w:rPr>
          <w:i/>
          <w:iCs/>
          <w:color w:val="FF0000"/>
        </w:rPr>
      </w:pPr>
      <w:r>
        <w:rPr>
          <w:i/>
          <w:iCs/>
        </w:rPr>
        <w:t>DFA</w:t>
      </w:r>
      <w:r w:rsidR="003B6941">
        <w:rPr>
          <w:i/>
          <w:iCs/>
        </w:rPr>
        <w:t>’s</w:t>
      </w:r>
      <w:r>
        <w:rPr>
          <w:i/>
          <w:iCs/>
        </w:rPr>
        <w:t xml:space="preserve"> </w:t>
      </w:r>
      <w:r w:rsidR="00731483" w:rsidRPr="003C43A8">
        <w:rPr>
          <w:i/>
          <w:iCs/>
        </w:rPr>
        <w:t>Answer – 2020 budget i</w:t>
      </w:r>
      <w:r w:rsidRPr="003C43A8">
        <w:rPr>
          <w:i/>
          <w:iCs/>
        </w:rPr>
        <w:t>f an adopted</w:t>
      </w:r>
      <w:r w:rsidR="00731483" w:rsidRPr="003C43A8">
        <w:rPr>
          <w:i/>
          <w:iCs/>
        </w:rPr>
        <w:t xml:space="preserve"> </w:t>
      </w:r>
      <w:r w:rsidRPr="005B44E2">
        <w:rPr>
          <w:i/>
          <w:iCs/>
        </w:rPr>
        <w:t>budget</w:t>
      </w:r>
      <w:r w:rsidR="00731483" w:rsidRPr="005B44E2">
        <w:rPr>
          <w:i/>
          <w:iCs/>
        </w:rPr>
        <w:t xml:space="preserve"> exist</w:t>
      </w:r>
      <w:r w:rsidR="00854AFD" w:rsidRPr="005B44E2">
        <w:rPr>
          <w:i/>
          <w:iCs/>
        </w:rPr>
        <w:t>ed</w:t>
      </w:r>
      <w:r w:rsidR="00731483" w:rsidRPr="005B44E2">
        <w:rPr>
          <w:i/>
          <w:iCs/>
        </w:rPr>
        <w:t xml:space="preserve"> on </w:t>
      </w:r>
      <w:r w:rsidR="00731483" w:rsidRPr="003C43A8">
        <w:rPr>
          <w:i/>
          <w:iCs/>
        </w:rPr>
        <w:t>January 27,</w:t>
      </w:r>
      <w:r w:rsidR="007E58E1" w:rsidRPr="003C43A8">
        <w:rPr>
          <w:i/>
          <w:iCs/>
        </w:rPr>
        <w:t xml:space="preserve"> </w:t>
      </w:r>
      <w:r w:rsidR="00731483" w:rsidRPr="003C43A8">
        <w:rPr>
          <w:i/>
          <w:iCs/>
        </w:rPr>
        <w:t xml:space="preserve">2020 </w:t>
      </w:r>
      <w:r w:rsidR="007E58E1" w:rsidRPr="003C43A8">
        <w:rPr>
          <w:b/>
          <w:bCs/>
          <w:i/>
          <w:iCs/>
        </w:rPr>
        <w:t>OR</w:t>
      </w:r>
      <w:r w:rsidR="007E58E1" w:rsidRPr="003C43A8">
        <w:rPr>
          <w:i/>
          <w:iCs/>
        </w:rPr>
        <w:t xml:space="preserve"> </w:t>
      </w:r>
      <w:r w:rsidR="00731483" w:rsidRPr="003C43A8">
        <w:rPr>
          <w:i/>
          <w:iCs/>
        </w:rPr>
        <w:t xml:space="preserve">2019 </w:t>
      </w:r>
      <w:r w:rsidR="007E58E1" w:rsidRPr="003C43A8">
        <w:rPr>
          <w:i/>
          <w:iCs/>
        </w:rPr>
        <w:t>t</w:t>
      </w:r>
      <w:r w:rsidR="00731483" w:rsidRPr="003C43A8">
        <w:rPr>
          <w:i/>
          <w:iCs/>
        </w:rPr>
        <w:t xml:space="preserve">otal </w:t>
      </w:r>
      <w:r w:rsidR="007E58E1" w:rsidRPr="003C43A8">
        <w:rPr>
          <w:i/>
          <w:iCs/>
        </w:rPr>
        <w:t>e</w:t>
      </w:r>
      <w:r w:rsidR="00731483" w:rsidRPr="003C43A8">
        <w:rPr>
          <w:i/>
          <w:iCs/>
        </w:rPr>
        <w:t>xpenditures</w:t>
      </w:r>
      <w:r w:rsidR="00C04147" w:rsidRPr="003C43A8">
        <w:rPr>
          <w:i/>
          <w:iCs/>
        </w:rPr>
        <w:t>.</w:t>
      </w:r>
      <w:r>
        <w:rPr>
          <w:i/>
          <w:iCs/>
        </w:rPr>
        <w:t xml:space="preserve">  </w:t>
      </w:r>
      <w:r w:rsidR="005B44E2">
        <w:rPr>
          <w:i/>
          <w:iCs/>
        </w:rPr>
        <w:t xml:space="preserve">2019 Total expenditures are to be reported.  These expenditures are final. Expenditures are defined most recent annual </w:t>
      </w:r>
      <w:r w:rsidR="005B44E2" w:rsidRPr="005B44E2">
        <w:rPr>
          <w:i/>
          <w:iCs/>
        </w:rPr>
        <w:t>expenditures before January 27, 2020- i.e. 2019.</w:t>
      </w:r>
    </w:p>
    <w:p w14:paraId="0D66BE6E" w14:textId="77777777" w:rsidR="005B44E2" w:rsidRDefault="005B44E2" w:rsidP="003C43A8">
      <w:pPr>
        <w:pStyle w:val="NoSpacing"/>
        <w:ind w:left="720"/>
        <w:rPr>
          <w:i/>
          <w:iCs/>
        </w:rPr>
      </w:pPr>
    </w:p>
    <w:p w14:paraId="42AD7914" w14:textId="7283795F" w:rsidR="005A5D19" w:rsidRDefault="005A5D19" w:rsidP="005A5D19">
      <w:pPr>
        <w:pStyle w:val="NoSpacing"/>
        <w:numPr>
          <w:ilvl w:val="0"/>
          <w:numId w:val="8"/>
        </w:numPr>
        <w:rPr>
          <w:i/>
          <w:iCs/>
        </w:rPr>
      </w:pPr>
      <w:r>
        <w:rPr>
          <w:i/>
          <w:iCs/>
        </w:rPr>
        <w:t xml:space="preserve">Adopted budget can be supported by approved minutes, </w:t>
      </w:r>
      <w:r w:rsidRPr="00854AFD">
        <w:rPr>
          <w:b/>
          <w:bCs/>
          <w:i/>
          <w:iCs/>
        </w:rPr>
        <w:t>signed</w:t>
      </w:r>
      <w:r>
        <w:rPr>
          <w:i/>
          <w:iCs/>
        </w:rPr>
        <w:t xml:space="preserve"> resolution, or</w:t>
      </w:r>
      <w:r w:rsidRPr="00854AFD">
        <w:rPr>
          <w:b/>
          <w:bCs/>
          <w:i/>
          <w:iCs/>
        </w:rPr>
        <w:t xml:space="preserve"> signed</w:t>
      </w:r>
      <w:r>
        <w:rPr>
          <w:i/>
          <w:iCs/>
        </w:rPr>
        <w:t xml:space="preserve"> ordinance. </w:t>
      </w:r>
    </w:p>
    <w:p w14:paraId="4C2C6437" w14:textId="128A214E" w:rsidR="005A5D19" w:rsidRPr="005B44E2" w:rsidRDefault="005A5D19" w:rsidP="005B44E2">
      <w:pPr>
        <w:pStyle w:val="NoSpacing"/>
        <w:numPr>
          <w:ilvl w:val="0"/>
          <w:numId w:val="8"/>
        </w:numPr>
        <w:rPr>
          <w:i/>
          <w:iCs/>
        </w:rPr>
      </w:pPr>
      <w:r w:rsidRPr="005B44E2">
        <w:rPr>
          <w:i/>
          <w:iCs/>
        </w:rPr>
        <w:t xml:space="preserve">Expenditures are defined most recent annual expenditures </w:t>
      </w:r>
    </w:p>
    <w:p w14:paraId="582C611C" w14:textId="77777777" w:rsidR="005B44E2" w:rsidRPr="005B44E2" w:rsidRDefault="005B44E2" w:rsidP="005B44E2">
      <w:pPr>
        <w:pStyle w:val="NoSpacing"/>
        <w:ind w:left="1440"/>
        <w:rPr>
          <w:i/>
          <w:iCs/>
        </w:rPr>
      </w:pPr>
    </w:p>
    <w:p w14:paraId="77035A86" w14:textId="58511DE6" w:rsidR="005913E5" w:rsidRPr="005913E5" w:rsidRDefault="005913E5" w:rsidP="005913E5">
      <w:pPr>
        <w:pStyle w:val="ListParagraph"/>
        <w:numPr>
          <w:ilvl w:val="0"/>
          <w:numId w:val="3"/>
        </w:numPr>
        <w:rPr>
          <w:i/>
          <w:iCs/>
          <w:u w:val="single"/>
        </w:rPr>
      </w:pPr>
      <w:r w:rsidRPr="005913E5">
        <w:rPr>
          <w:u w:val="single"/>
        </w:rPr>
        <w:t xml:space="preserve">Question – What </w:t>
      </w:r>
      <w:r>
        <w:rPr>
          <w:u w:val="single"/>
        </w:rPr>
        <w:t xml:space="preserve">if the city </w:t>
      </w:r>
      <w:r w:rsidR="007E58E1">
        <w:rPr>
          <w:u w:val="single"/>
        </w:rPr>
        <w:t>was not incorporated</w:t>
      </w:r>
      <w:r>
        <w:rPr>
          <w:u w:val="single"/>
        </w:rPr>
        <w:t xml:space="preserve"> in 2020</w:t>
      </w:r>
      <w:r w:rsidRPr="005913E5">
        <w:rPr>
          <w:u w:val="single"/>
        </w:rPr>
        <w:t>?</w:t>
      </w:r>
    </w:p>
    <w:p w14:paraId="56B4BA98" w14:textId="53724521" w:rsidR="005913E5" w:rsidRPr="00731483" w:rsidRDefault="003B6941" w:rsidP="000F62A5">
      <w:pPr>
        <w:ind w:left="720"/>
        <w:jc w:val="both"/>
        <w:rPr>
          <w:i/>
          <w:iCs/>
        </w:rPr>
      </w:pPr>
      <w:r>
        <w:rPr>
          <w:i/>
          <w:iCs/>
        </w:rPr>
        <w:t xml:space="preserve">DFA’s </w:t>
      </w:r>
      <w:r w:rsidR="005913E5" w:rsidRPr="00731483">
        <w:rPr>
          <w:i/>
          <w:iCs/>
        </w:rPr>
        <w:t xml:space="preserve">Answer – </w:t>
      </w:r>
      <w:r w:rsidR="005913E5">
        <w:rPr>
          <w:i/>
          <w:iCs/>
        </w:rPr>
        <w:t>Contact DFA – Office of Accounting at 501-682-1675.  Additional information is needed to answer this question.</w:t>
      </w:r>
      <w:r w:rsidR="005913E5" w:rsidRPr="00731483">
        <w:rPr>
          <w:i/>
          <w:iCs/>
        </w:rPr>
        <w:t xml:space="preserve"> </w:t>
      </w:r>
    </w:p>
    <w:p w14:paraId="2FDDE69C" w14:textId="413FF8E9" w:rsidR="00731483" w:rsidRPr="005913E5" w:rsidRDefault="003E3355" w:rsidP="003E3355">
      <w:pPr>
        <w:pStyle w:val="ListParagraph"/>
        <w:numPr>
          <w:ilvl w:val="0"/>
          <w:numId w:val="3"/>
        </w:numPr>
        <w:rPr>
          <w:i/>
          <w:iCs/>
          <w:u w:val="single"/>
        </w:rPr>
      </w:pPr>
      <w:r w:rsidRPr="005913E5">
        <w:rPr>
          <w:u w:val="single"/>
        </w:rPr>
        <w:t xml:space="preserve"> Question – What departments should be included in my</w:t>
      </w:r>
      <w:r w:rsidR="007E58E1">
        <w:rPr>
          <w:u w:val="single"/>
        </w:rPr>
        <w:t xml:space="preserve"> budget</w:t>
      </w:r>
      <w:r w:rsidRPr="005913E5">
        <w:rPr>
          <w:u w:val="single"/>
        </w:rPr>
        <w:t xml:space="preserve"> response?</w:t>
      </w:r>
      <w:r w:rsidRPr="00F92533">
        <w:t xml:space="preserve"> </w:t>
      </w:r>
      <w:r w:rsidR="00F92533" w:rsidRPr="003C43A8">
        <w:t xml:space="preserve">(US TREASURY </w:t>
      </w:r>
      <w:r w:rsidR="00F92533">
        <w:t>INTERIM REPORT § 35.12(b)</w:t>
      </w:r>
      <w:r w:rsidR="00F92533" w:rsidRPr="003C43A8">
        <w:t>)</w:t>
      </w:r>
    </w:p>
    <w:p w14:paraId="70436439" w14:textId="5D696894" w:rsidR="003E3355" w:rsidRPr="00731483" w:rsidRDefault="003E3355" w:rsidP="000F62A5">
      <w:pPr>
        <w:ind w:left="720"/>
        <w:jc w:val="both"/>
        <w:rPr>
          <w:i/>
          <w:iCs/>
        </w:rPr>
      </w:pPr>
      <w:r w:rsidRPr="00731483">
        <w:rPr>
          <w:i/>
          <w:iCs/>
        </w:rPr>
        <w:t xml:space="preserve">Answer – The U.S. Treasury’s Interim Report “The most recent budget is defined as the NEU’s most recent annual total operating budget, including its general fund and other funds, as of January 27, 2020.”  </w:t>
      </w:r>
    </w:p>
    <w:p w14:paraId="7B62E2C8" w14:textId="7AB62AB9" w:rsidR="003E3355" w:rsidRDefault="003E3355" w:rsidP="003E3355">
      <w:pPr>
        <w:ind w:left="720"/>
        <w:rPr>
          <w:i/>
          <w:iCs/>
        </w:rPr>
      </w:pPr>
      <w:r w:rsidRPr="003E3355">
        <w:rPr>
          <w:i/>
          <w:iCs/>
        </w:rPr>
        <w:t xml:space="preserve"> DFA</w:t>
      </w:r>
      <w:r w:rsidR="003B6941">
        <w:rPr>
          <w:i/>
          <w:iCs/>
        </w:rPr>
        <w:t xml:space="preserve">’s answer </w:t>
      </w:r>
      <w:r w:rsidR="00AE1295">
        <w:rPr>
          <w:i/>
          <w:iCs/>
        </w:rPr>
        <w:t xml:space="preserve">to </w:t>
      </w:r>
      <w:r w:rsidR="00AE1295" w:rsidRPr="003E3355">
        <w:rPr>
          <w:i/>
          <w:iCs/>
        </w:rPr>
        <w:t>provides</w:t>
      </w:r>
      <w:r w:rsidRPr="003E3355">
        <w:rPr>
          <w:i/>
          <w:iCs/>
        </w:rPr>
        <w:t xml:space="preserve"> additional guidance:</w:t>
      </w:r>
    </w:p>
    <w:p w14:paraId="5A97E209" w14:textId="136077EE" w:rsidR="003E3355" w:rsidRDefault="003E3355" w:rsidP="000F62A5">
      <w:pPr>
        <w:pStyle w:val="ListParagraph"/>
        <w:numPr>
          <w:ilvl w:val="0"/>
          <w:numId w:val="4"/>
        </w:numPr>
        <w:jc w:val="both"/>
        <w:rPr>
          <w:i/>
          <w:iCs/>
        </w:rPr>
      </w:pPr>
      <w:r>
        <w:rPr>
          <w:i/>
          <w:iCs/>
        </w:rPr>
        <w:t>City</w:t>
      </w:r>
      <w:r w:rsidR="00F92533">
        <w:rPr>
          <w:i/>
          <w:iCs/>
        </w:rPr>
        <w:t>/Town</w:t>
      </w:r>
      <w:r>
        <w:rPr>
          <w:i/>
          <w:iCs/>
        </w:rPr>
        <w:t xml:space="preserve">’s budget includes all departments in which the </w:t>
      </w:r>
      <w:r w:rsidR="00F92533">
        <w:rPr>
          <w:i/>
          <w:iCs/>
        </w:rPr>
        <w:t>City/Town C</w:t>
      </w:r>
      <w:r w:rsidR="00731483">
        <w:rPr>
          <w:i/>
          <w:iCs/>
        </w:rPr>
        <w:t>ouncil must review and approve an operating budget</w:t>
      </w:r>
    </w:p>
    <w:p w14:paraId="52CCBF5E" w14:textId="49124838" w:rsidR="00731483" w:rsidRPr="003E3355" w:rsidRDefault="00731483" w:rsidP="005913E5">
      <w:pPr>
        <w:pStyle w:val="ListParagraph"/>
        <w:ind w:left="2160"/>
        <w:rPr>
          <w:i/>
          <w:iCs/>
        </w:rPr>
      </w:pPr>
    </w:p>
    <w:p w14:paraId="551FEE7C" w14:textId="4C73CF46" w:rsidR="003E3355" w:rsidRPr="005913E5" w:rsidRDefault="003E3355" w:rsidP="003E3355">
      <w:pPr>
        <w:pStyle w:val="ListParagraph"/>
        <w:numPr>
          <w:ilvl w:val="0"/>
          <w:numId w:val="3"/>
        </w:numPr>
        <w:rPr>
          <w:u w:val="single"/>
        </w:rPr>
      </w:pPr>
      <w:r>
        <w:lastRenderedPageBreak/>
        <w:t xml:space="preserve"> </w:t>
      </w:r>
      <w:r w:rsidR="00731483" w:rsidRPr="005913E5">
        <w:rPr>
          <w:u w:val="single"/>
        </w:rPr>
        <w:t>Question – Should the Utility Department be included?</w:t>
      </w:r>
      <w:r w:rsidR="00F92533" w:rsidRPr="00F92533">
        <w:t xml:space="preserve"> </w:t>
      </w:r>
      <w:r w:rsidR="00F92533" w:rsidRPr="003C43A8">
        <w:t xml:space="preserve">(US TREASURY </w:t>
      </w:r>
      <w:r w:rsidR="00F92533">
        <w:t>INTERIM REPORT § 35.12(b)</w:t>
      </w:r>
      <w:r w:rsidR="00F92533" w:rsidRPr="003C43A8">
        <w:t>)</w:t>
      </w:r>
    </w:p>
    <w:p w14:paraId="722CB0BC" w14:textId="6B40D3C7" w:rsidR="00731483" w:rsidRDefault="00731483" w:rsidP="000F62A5">
      <w:pPr>
        <w:ind w:left="720"/>
        <w:jc w:val="both"/>
        <w:rPr>
          <w:i/>
          <w:iCs/>
        </w:rPr>
      </w:pPr>
      <w:r>
        <w:rPr>
          <w:i/>
          <w:iCs/>
        </w:rPr>
        <w:t xml:space="preserve">DFA’s </w:t>
      </w:r>
      <w:r w:rsidRPr="00731483">
        <w:rPr>
          <w:i/>
          <w:iCs/>
        </w:rPr>
        <w:t xml:space="preserve">Answer – </w:t>
      </w:r>
      <w:r w:rsidRPr="003E3355">
        <w:rPr>
          <w:i/>
          <w:iCs/>
        </w:rPr>
        <w:t>City’s</w:t>
      </w:r>
      <w:r>
        <w:rPr>
          <w:i/>
          <w:iCs/>
        </w:rPr>
        <w:t xml:space="preserve"> budget will include a Utility Department budget amount </w:t>
      </w:r>
      <w:r w:rsidR="00854AFD" w:rsidRPr="00854AFD">
        <w:rPr>
          <w:b/>
          <w:bCs/>
          <w:u w:val="single"/>
        </w:rPr>
        <w:t>only</w:t>
      </w:r>
      <w:r w:rsidR="00854AFD">
        <w:rPr>
          <w:i/>
          <w:iCs/>
        </w:rPr>
        <w:t xml:space="preserve"> </w:t>
      </w:r>
      <w:r w:rsidRPr="00854AFD">
        <w:rPr>
          <w:b/>
          <w:bCs/>
          <w:u w:val="single"/>
        </w:rPr>
        <w:t>if</w:t>
      </w:r>
      <w:r>
        <w:rPr>
          <w:i/>
          <w:iCs/>
        </w:rPr>
        <w:t xml:space="preserve"> the </w:t>
      </w:r>
      <w:r w:rsidR="00F92533">
        <w:rPr>
          <w:i/>
          <w:iCs/>
        </w:rPr>
        <w:t xml:space="preserve">City </w:t>
      </w:r>
      <w:r>
        <w:rPr>
          <w:i/>
          <w:iCs/>
        </w:rPr>
        <w:t xml:space="preserve">Council must review and approve </w:t>
      </w:r>
      <w:r w:rsidR="00854AFD" w:rsidRPr="005B44E2">
        <w:rPr>
          <w:i/>
          <w:iCs/>
        </w:rPr>
        <w:t>the utility’s</w:t>
      </w:r>
      <w:r w:rsidRPr="005B44E2">
        <w:rPr>
          <w:i/>
          <w:iCs/>
        </w:rPr>
        <w:t xml:space="preserve"> </w:t>
      </w:r>
      <w:r>
        <w:rPr>
          <w:i/>
          <w:iCs/>
        </w:rPr>
        <w:t>operating budget.</w:t>
      </w:r>
    </w:p>
    <w:p w14:paraId="3DF82FA0" w14:textId="77777777" w:rsidR="00F92533" w:rsidRPr="005913E5" w:rsidRDefault="00731483" w:rsidP="00F92533">
      <w:pPr>
        <w:pStyle w:val="ListParagraph"/>
        <w:numPr>
          <w:ilvl w:val="0"/>
          <w:numId w:val="3"/>
        </w:numPr>
        <w:rPr>
          <w:i/>
          <w:iCs/>
          <w:u w:val="single"/>
        </w:rPr>
      </w:pPr>
      <w:r w:rsidRPr="005913E5">
        <w:rPr>
          <w:u w:val="single"/>
        </w:rPr>
        <w:t xml:space="preserve"> Question - Why are we being asked to submit budgets?</w:t>
      </w:r>
      <w:r w:rsidR="00F92533" w:rsidRPr="00AE1295">
        <w:t xml:space="preserve"> </w:t>
      </w:r>
      <w:r w:rsidR="00F92533" w:rsidRPr="003C43A8">
        <w:t xml:space="preserve">(US TREASURY FAQ </w:t>
      </w:r>
      <w:r w:rsidR="00F92533">
        <w:t>7.3 &amp; INTERIM REPORT § 35.12(b)</w:t>
      </w:r>
      <w:r w:rsidR="00F92533" w:rsidRPr="003C43A8">
        <w:t>)</w:t>
      </w:r>
    </w:p>
    <w:p w14:paraId="6A9F403A" w14:textId="5D5CE92F" w:rsidR="005913E5" w:rsidRDefault="00731483" w:rsidP="000F62A5">
      <w:pPr>
        <w:ind w:left="720"/>
        <w:jc w:val="both"/>
        <w:rPr>
          <w:i/>
          <w:iCs/>
        </w:rPr>
      </w:pPr>
      <w:r>
        <w:t xml:space="preserve">Answer - </w:t>
      </w:r>
      <w:r w:rsidRPr="00731483">
        <w:rPr>
          <w:i/>
          <w:iCs/>
        </w:rPr>
        <w:t>The U.S. Treasury’s Interim Report</w:t>
      </w:r>
      <w:r w:rsidR="005913E5">
        <w:rPr>
          <w:i/>
          <w:iCs/>
        </w:rPr>
        <w:t xml:space="preserve"> determined states are responsible for distribution to nonentitlement units and distribution are based upon budget caps.</w:t>
      </w:r>
    </w:p>
    <w:p w14:paraId="4533F448" w14:textId="78E7AB30" w:rsidR="005913E5" w:rsidRDefault="005913E5" w:rsidP="000F62A5">
      <w:pPr>
        <w:ind w:left="720"/>
        <w:jc w:val="both"/>
        <w:rPr>
          <w:i/>
          <w:iCs/>
        </w:rPr>
      </w:pPr>
      <w:r>
        <w:rPr>
          <w:i/>
          <w:iCs/>
        </w:rPr>
        <w:t xml:space="preserve"> </w:t>
      </w:r>
      <w:r w:rsidRPr="005913E5">
        <w:rPr>
          <w:i/>
          <w:iCs/>
        </w:rPr>
        <w:t>“§ 35.12 Distributions to nonentitlement units of local government and units of general local government.</w:t>
      </w:r>
    </w:p>
    <w:p w14:paraId="3034E6F8" w14:textId="77777777" w:rsidR="005913E5" w:rsidRDefault="005913E5" w:rsidP="000F62A5">
      <w:pPr>
        <w:ind w:left="720"/>
        <w:jc w:val="both"/>
        <w:rPr>
          <w:i/>
          <w:iCs/>
        </w:rPr>
      </w:pPr>
      <w:r w:rsidRPr="005913E5">
        <w:rPr>
          <w:b/>
          <w:bCs/>
          <w:i/>
          <w:iCs/>
        </w:rPr>
        <w:t>(a) Nonentitlement units of local government.</w:t>
      </w:r>
      <w:r w:rsidRPr="005913E5">
        <w:rPr>
          <w:i/>
          <w:iCs/>
        </w:rPr>
        <w:t xml:space="preserve"> Each State or Territory that receives a payment from Treasury pursuant to section 603(b)(2)(B) of the Social Security Act shall distribute the amount of the payment to nonentitlement units of government in such State or Territory in accordance with the requirements set forth in section 603(b)(2)(C) of the Social Security Act and without offsetting any debt owed by such nonentitlement units of local governments against such payments. </w:t>
      </w:r>
    </w:p>
    <w:p w14:paraId="062A1A8B" w14:textId="56602FBB" w:rsidR="00731483" w:rsidRPr="00731483" w:rsidRDefault="005913E5" w:rsidP="000F62A5">
      <w:pPr>
        <w:ind w:left="720"/>
        <w:jc w:val="both"/>
      </w:pPr>
      <w:r w:rsidRPr="005913E5">
        <w:rPr>
          <w:b/>
          <w:bCs/>
          <w:i/>
          <w:iCs/>
        </w:rPr>
        <w:t>(b) Budget cap</w:t>
      </w:r>
      <w:r w:rsidRPr="005913E5">
        <w:rPr>
          <w:i/>
          <w:iCs/>
        </w:rPr>
        <w:t xml:space="preserve">. A State or Territory may not make a payment to a nonentitlement unit of local government pursuant to section 603(b)(2)(C) of the Social Security Act and paragraph(a) of this section in excess of the amount equal to 75 percent of the most recent budget for the nonentitlement unit of local government as of January 27, 2020. </w:t>
      </w:r>
      <w:r w:rsidR="00B34F34">
        <w:rPr>
          <w:i/>
          <w:iCs/>
        </w:rPr>
        <w:t xml:space="preserve"> </w:t>
      </w:r>
      <w:r w:rsidRPr="005913E5">
        <w:rPr>
          <w:i/>
          <w:iCs/>
        </w:rPr>
        <w:t>A State or Territory shall permit a nonentitlement unit of local government without a formal budget as of January 27, 2020, to provide a certification from an authorized officer of the nonentitlement unit of local government of its most recent annual expenditures as of January 27, 2020, and a State or Territory may rely on such certification for purposes of complying with this paragraph (b).</w:t>
      </w:r>
      <w:r w:rsidR="00731483" w:rsidRPr="005913E5">
        <w:rPr>
          <w:i/>
          <w:iCs/>
        </w:rPr>
        <w:t xml:space="preserve"> determines the State to be responsible for the distribution on </w:t>
      </w:r>
      <w:r w:rsidRPr="005913E5">
        <w:rPr>
          <w:i/>
          <w:iCs/>
        </w:rPr>
        <w:t>Non-entitlement</w:t>
      </w:r>
      <w:r w:rsidR="00731483" w:rsidRPr="005913E5">
        <w:rPr>
          <w:i/>
          <w:iCs/>
        </w:rPr>
        <w:t xml:space="preserve"> cities </w:t>
      </w:r>
      <w:r w:rsidRPr="005913E5">
        <w:rPr>
          <w:i/>
          <w:iCs/>
        </w:rPr>
        <w:t>Local Fiscal Recovery funds.</w:t>
      </w:r>
      <w:r>
        <w:rPr>
          <w:i/>
          <w:iCs/>
        </w:rPr>
        <w:t>”</w:t>
      </w:r>
    </w:p>
    <w:p w14:paraId="20F12C8C" w14:textId="41F52550" w:rsidR="00C04147" w:rsidRPr="005913E5" w:rsidRDefault="00C04147" w:rsidP="000F62A5">
      <w:pPr>
        <w:pStyle w:val="ListParagraph"/>
        <w:numPr>
          <w:ilvl w:val="0"/>
          <w:numId w:val="3"/>
        </w:numPr>
        <w:jc w:val="both"/>
        <w:rPr>
          <w:i/>
          <w:iCs/>
          <w:u w:val="single"/>
        </w:rPr>
      </w:pPr>
      <w:r w:rsidRPr="005913E5">
        <w:rPr>
          <w:u w:val="single"/>
        </w:rPr>
        <w:t xml:space="preserve">Question – </w:t>
      </w:r>
      <w:r>
        <w:rPr>
          <w:u w:val="single"/>
        </w:rPr>
        <w:t xml:space="preserve">If our department budgets are broken down in much more detail, what should we list on the Budget </w:t>
      </w:r>
      <w:r w:rsidR="003B6941">
        <w:rPr>
          <w:u w:val="single"/>
        </w:rPr>
        <w:t xml:space="preserve">Information </w:t>
      </w:r>
      <w:r>
        <w:rPr>
          <w:u w:val="single"/>
        </w:rPr>
        <w:t>Form</w:t>
      </w:r>
      <w:r w:rsidRPr="005913E5">
        <w:rPr>
          <w:u w:val="single"/>
        </w:rPr>
        <w:t>?</w:t>
      </w:r>
    </w:p>
    <w:p w14:paraId="5F46C36F" w14:textId="01D47D70" w:rsidR="00C04147" w:rsidRDefault="000F62A5" w:rsidP="00C04147">
      <w:pPr>
        <w:ind w:left="720"/>
        <w:rPr>
          <w:i/>
          <w:iCs/>
        </w:rPr>
      </w:pPr>
      <w:r w:rsidRPr="000F62A5">
        <w:rPr>
          <w:i/>
          <w:iCs/>
        </w:rPr>
        <w:t xml:space="preserve">DFA’s </w:t>
      </w:r>
      <w:r w:rsidR="00C04147" w:rsidRPr="000F62A5">
        <w:rPr>
          <w:i/>
          <w:iCs/>
        </w:rPr>
        <w:t>A</w:t>
      </w:r>
      <w:r w:rsidR="00C04147" w:rsidRPr="000F62A5">
        <w:t>nswer</w:t>
      </w:r>
      <w:r w:rsidR="00C04147" w:rsidRPr="00731483">
        <w:rPr>
          <w:i/>
          <w:iCs/>
        </w:rPr>
        <w:t xml:space="preserve"> – </w:t>
      </w:r>
      <w:r w:rsidR="00C04147">
        <w:rPr>
          <w:i/>
          <w:iCs/>
        </w:rPr>
        <w:t>Provide the total budget for each department</w:t>
      </w:r>
      <w:r w:rsidR="003B6941">
        <w:rPr>
          <w:i/>
          <w:iCs/>
        </w:rPr>
        <w:t xml:space="preserve"> to calculate the annual total operating budget</w:t>
      </w:r>
      <w:r w:rsidR="00C04147">
        <w:rPr>
          <w:i/>
          <w:iCs/>
        </w:rPr>
        <w:t>.</w:t>
      </w:r>
    </w:p>
    <w:p w14:paraId="665664B1" w14:textId="1638E36E" w:rsidR="003B6941" w:rsidRPr="005913E5" w:rsidRDefault="00C04147" w:rsidP="003B6941">
      <w:pPr>
        <w:pStyle w:val="ListParagraph"/>
        <w:numPr>
          <w:ilvl w:val="0"/>
          <w:numId w:val="3"/>
        </w:numPr>
        <w:rPr>
          <w:i/>
          <w:iCs/>
          <w:u w:val="single"/>
        </w:rPr>
      </w:pPr>
      <w:r w:rsidRPr="005913E5">
        <w:rPr>
          <w:u w:val="single"/>
        </w:rPr>
        <w:t xml:space="preserve">Question – </w:t>
      </w:r>
      <w:r>
        <w:rPr>
          <w:u w:val="single"/>
        </w:rPr>
        <w:t xml:space="preserve">If we must use </w:t>
      </w:r>
      <w:r w:rsidRPr="005B44E2">
        <w:rPr>
          <w:u w:val="single"/>
        </w:rPr>
        <w:t xml:space="preserve">2019 </w:t>
      </w:r>
      <w:r w:rsidR="00854AFD" w:rsidRPr="005B44E2">
        <w:rPr>
          <w:u w:val="single"/>
        </w:rPr>
        <w:t>actual expense i</w:t>
      </w:r>
      <w:r w:rsidRPr="005B44E2">
        <w:rPr>
          <w:u w:val="single"/>
        </w:rPr>
        <w:t>nformation</w:t>
      </w:r>
      <w:r>
        <w:rPr>
          <w:u w:val="single"/>
        </w:rPr>
        <w:t>, do we send our budget, expenditures, or revenue?</w:t>
      </w:r>
      <w:r w:rsidR="003B6941" w:rsidRPr="003B6941">
        <w:t xml:space="preserve"> </w:t>
      </w:r>
      <w:r w:rsidR="003B6941" w:rsidRPr="003C43A8">
        <w:t>(</w:t>
      </w:r>
      <w:r w:rsidR="003B6941">
        <w:t>INTERIM REPORT § 35.12(b)</w:t>
      </w:r>
      <w:r w:rsidR="003B6941" w:rsidRPr="003C43A8">
        <w:t>)</w:t>
      </w:r>
    </w:p>
    <w:p w14:paraId="7F59158A" w14:textId="21CFCEF3" w:rsidR="003B6941" w:rsidRPr="005A5D19" w:rsidRDefault="003B6941" w:rsidP="003B6941">
      <w:pPr>
        <w:pStyle w:val="NoSpacing"/>
        <w:ind w:left="720"/>
        <w:rPr>
          <w:i/>
          <w:iCs/>
        </w:rPr>
      </w:pPr>
      <w:r>
        <w:rPr>
          <w:i/>
          <w:iCs/>
        </w:rPr>
        <w:t xml:space="preserve">DFA’s </w:t>
      </w:r>
      <w:r w:rsidRPr="00731483">
        <w:rPr>
          <w:i/>
          <w:iCs/>
        </w:rPr>
        <w:t xml:space="preserve">Answer – </w:t>
      </w:r>
      <w:r>
        <w:rPr>
          <w:i/>
          <w:iCs/>
        </w:rPr>
        <w:t>2019 Total</w:t>
      </w:r>
      <w:r w:rsidRPr="00854AFD">
        <w:rPr>
          <w:b/>
          <w:bCs/>
          <w:i/>
          <w:iCs/>
        </w:rPr>
        <w:t xml:space="preserve"> expenditures</w:t>
      </w:r>
      <w:r>
        <w:rPr>
          <w:i/>
          <w:iCs/>
        </w:rPr>
        <w:t xml:space="preserve"> </w:t>
      </w:r>
      <w:r w:rsidR="00854AFD">
        <w:rPr>
          <w:i/>
          <w:iCs/>
        </w:rPr>
        <w:t xml:space="preserve">final </w:t>
      </w:r>
      <w:r>
        <w:rPr>
          <w:i/>
          <w:iCs/>
        </w:rPr>
        <w:t xml:space="preserve">are to be reported.  These expenditures are final. Expenditures are defined most recent annual </w:t>
      </w:r>
      <w:r w:rsidRPr="005B44E2">
        <w:rPr>
          <w:i/>
          <w:iCs/>
        </w:rPr>
        <w:t>expenditures</w:t>
      </w:r>
      <w:r w:rsidR="00854AFD" w:rsidRPr="005B44E2">
        <w:rPr>
          <w:i/>
          <w:iCs/>
        </w:rPr>
        <w:t xml:space="preserve"> as of January 27, 2020. </w:t>
      </w:r>
      <w:r w:rsidRPr="005B44E2">
        <w:rPr>
          <w:i/>
          <w:iCs/>
        </w:rPr>
        <w:t xml:space="preserve"> </w:t>
      </w:r>
    </w:p>
    <w:p w14:paraId="32169AFC" w14:textId="77777777" w:rsidR="003B6941" w:rsidRPr="003B6941" w:rsidRDefault="003B6941" w:rsidP="003B6941">
      <w:pPr>
        <w:pStyle w:val="ListParagraph"/>
        <w:ind w:left="1080"/>
        <w:jc w:val="both"/>
        <w:rPr>
          <w:i/>
          <w:iCs/>
          <w:u w:val="single"/>
        </w:rPr>
      </w:pPr>
    </w:p>
    <w:p w14:paraId="43AAFE7A" w14:textId="77777777" w:rsidR="00AE1295" w:rsidRPr="005913E5" w:rsidRDefault="001A355F" w:rsidP="00AE1295">
      <w:pPr>
        <w:pStyle w:val="ListParagraph"/>
        <w:numPr>
          <w:ilvl w:val="0"/>
          <w:numId w:val="3"/>
        </w:numPr>
        <w:rPr>
          <w:i/>
          <w:iCs/>
          <w:u w:val="single"/>
        </w:rPr>
      </w:pPr>
      <w:r w:rsidRPr="005913E5">
        <w:rPr>
          <w:u w:val="single"/>
        </w:rPr>
        <w:t xml:space="preserve">Question – </w:t>
      </w:r>
      <w:r>
        <w:rPr>
          <w:u w:val="single"/>
        </w:rPr>
        <w:t>If one or more of our departments have their own council, should it be included?</w:t>
      </w:r>
      <w:r w:rsidR="00AE1295">
        <w:rPr>
          <w:u w:val="single"/>
        </w:rPr>
        <w:t xml:space="preserve"> </w:t>
      </w:r>
      <w:r w:rsidR="00AE1295" w:rsidRPr="003C43A8">
        <w:t xml:space="preserve">(US TREASURY </w:t>
      </w:r>
      <w:r w:rsidR="00AE1295">
        <w:t>INTERIM REPORT § 35.12(b)</w:t>
      </w:r>
      <w:r w:rsidR="00AE1295" w:rsidRPr="003C43A8">
        <w:t>)</w:t>
      </w:r>
    </w:p>
    <w:p w14:paraId="61418820" w14:textId="32B741EC" w:rsidR="001A355F" w:rsidRDefault="000F62A5" w:rsidP="000F62A5">
      <w:pPr>
        <w:ind w:left="720"/>
        <w:jc w:val="both"/>
        <w:rPr>
          <w:i/>
          <w:iCs/>
        </w:rPr>
      </w:pPr>
      <w:r w:rsidRPr="000F62A5">
        <w:rPr>
          <w:i/>
          <w:iCs/>
        </w:rPr>
        <w:t xml:space="preserve">DFA’s </w:t>
      </w:r>
      <w:r w:rsidR="001A355F" w:rsidRPr="000F62A5">
        <w:rPr>
          <w:i/>
          <w:iCs/>
        </w:rPr>
        <w:t>Answer</w:t>
      </w:r>
      <w:r w:rsidR="001A355F" w:rsidRPr="00731483">
        <w:rPr>
          <w:i/>
          <w:iCs/>
        </w:rPr>
        <w:t xml:space="preserve"> –</w:t>
      </w:r>
      <w:r w:rsidR="00B366F3">
        <w:rPr>
          <w:i/>
          <w:iCs/>
        </w:rPr>
        <w:t xml:space="preserve">If the department is </w:t>
      </w:r>
      <w:r w:rsidR="008B75C8">
        <w:rPr>
          <w:i/>
          <w:iCs/>
        </w:rPr>
        <w:t>considered</w:t>
      </w:r>
      <w:r w:rsidR="00B366F3">
        <w:rPr>
          <w:i/>
          <w:iCs/>
        </w:rPr>
        <w:t xml:space="preserve"> part of city operations</w:t>
      </w:r>
      <w:r w:rsidR="003B6941">
        <w:rPr>
          <w:i/>
          <w:iCs/>
        </w:rPr>
        <w:t xml:space="preserve"> and part of the Entity</w:t>
      </w:r>
      <w:r w:rsidR="00B366F3">
        <w:rPr>
          <w:i/>
          <w:iCs/>
        </w:rPr>
        <w:t xml:space="preserve">, the </w:t>
      </w:r>
      <w:r w:rsidR="005E1C33">
        <w:rPr>
          <w:i/>
          <w:iCs/>
        </w:rPr>
        <w:t>budget amounts should be included</w:t>
      </w:r>
      <w:r w:rsidR="001A355F">
        <w:rPr>
          <w:i/>
          <w:iCs/>
        </w:rPr>
        <w:t>.</w:t>
      </w:r>
    </w:p>
    <w:p w14:paraId="1AA4067D" w14:textId="3E279C59" w:rsidR="005E1C33" w:rsidRPr="005913E5" w:rsidRDefault="005E1C33" w:rsidP="000F62A5">
      <w:pPr>
        <w:pStyle w:val="ListParagraph"/>
        <w:numPr>
          <w:ilvl w:val="0"/>
          <w:numId w:val="3"/>
        </w:numPr>
        <w:jc w:val="both"/>
        <w:rPr>
          <w:i/>
          <w:iCs/>
          <w:u w:val="single"/>
        </w:rPr>
      </w:pPr>
      <w:r w:rsidRPr="005913E5">
        <w:rPr>
          <w:u w:val="single"/>
        </w:rPr>
        <w:lastRenderedPageBreak/>
        <w:t xml:space="preserve">Question – </w:t>
      </w:r>
      <w:r w:rsidR="0030128E">
        <w:rPr>
          <w:u w:val="single"/>
        </w:rPr>
        <w:t xml:space="preserve">If </w:t>
      </w:r>
      <w:r w:rsidR="00AE1295">
        <w:rPr>
          <w:u w:val="single"/>
        </w:rPr>
        <w:t>the city/town</w:t>
      </w:r>
      <w:r w:rsidR="0030128E">
        <w:rPr>
          <w:u w:val="single"/>
        </w:rPr>
        <w:t xml:space="preserve"> did</w:t>
      </w:r>
      <w:r w:rsidR="00AE1295">
        <w:rPr>
          <w:u w:val="single"/>
        </w:rPr>
        <w:t xml:space="preserve"> not</w:t>
      </w:r>
      <w:r w:rsidR="0030128E">
        <w:rPr>
          <w:u w:val="single"/>
        </w:rPr>
        <w:t xml:space="preserve"> have a </w:t>
      </w:r>
      <w:r w:rsidR="00AE1295">
        <w:rPr>
          <w:u w:val="single"/>
        </w:rPr>
        <w:t xml:space="preserve">revenue loss or incur any </w:t>
      </w:r>
      <w:r w:rsidR="0030128E">
        <w:rPr>
          <w:u w:val="single"/>
        </w:rPr>
        <w:t>loss</w:t>
      </w:r>
      <w:r w:rsidR="00AE1295">
        <w:rPr>
          <w:u w:val="single"/>
        </w:rPr>
        <w:t>es</w:t>
      </w:r>
      <w:r w:rsidR="0030128E">
        <w:rPr>
          <w:u w:val="single"/>
        </w:rPr>
        <w:t xml:space="preserve"> due to COVID-19</w:t>
      </w:r>
      <w:r w:rsidR="00B34F34">
        <w:rPr>
          <w:u w:val="single"/>
        </w:rPr>
        <w:t>,</w:t>
      </w:r>
      <w:r w:rsidR="0030128E">
        <w:rPr>
          <w:u w:val="single"/>
        </w:rPr>
        <w:t xml:space="preserve"> do we still need to send </w:t>
      </w:r>
      <w:r w:rsidR="00B34F34">
        <w:rPr>
          <w:u w:val="single"/>
        </w:rPr>
        <w:t>the required information</w:t>
      </w:r>
      <w:r>
        <w:rPr>
          <w:u w:val="single"/>
        </w:rPr>
        <w:t>?</w:t>
      </w:r>
      <w:r w:rsidR="00854AFD">
        <w:rPr>
          <w:u w:val="single"/>
        </w:rPr>
        <w:t xml:space="preserve"> </w:t>
      </w:r>
      <w:r w:rsidR="00854AFD" w:rsidRPr="005B44E2">
        <w:rPr>
          <w:u w:val="single"/>
        </w:rPr>
        <w:t xml:space="preserve"> We do not know if we can </w:t>
      </w:r>
      <w:r w:rsidR="00635B53" w:rsidRPr="005B44E2">
        <w:rPr>
          <w:u w:val="single"/>
        </w:rPr>
        <w:t>use the funding.</w:t>
      </w:r>
    </w:p>
    <w:p w14:paraId="2199ACEC" w14:textId="10A5D009" w:rsidR="005E1C33" w:rsidRDefault="000F62A5" w:rsidP="000F62A5">
      <w:pPr>
        <w:ind w:left="720"/>
        <w:jc w:val="both"/>
        <w:rPr>
          <w:i/>
          <w:iCs/>
        </w:rPr>
      </w:pPr>
      <w:r w:rsidRPr="000F62A5">
        <w:rPr>
          <w:i/>
          <w:iCs/>
        </w:rPr>
        <w:t xml:space="preserve">DFA’s </w:t>
      </w:r>
      <w:r w:rsidR="005E1C33" w:rsidRPr="00731483">
        <w:rPr>
          <w:i/>
          <w:iCs/>
        </w:rPr>
        <w:t>Answer –</w:t>
      </w:r>
      <w:r w:rsidR="00635B53">
        <w:rPr>
          <w:i/>
          <w:iCs/>
        </w:rPr>
        <w:t xml:space="preserve"> </w:t>
      </w:r>
      <w:r w:rsidR="008B75C8">
        <w:rPr>
          <w:i/>
          <w:iCs/>
        </w:rPr>
        <w:t xml:space="preserve">ARPA funds can be used for </w:t>
      </w:r>
      <w:r w:rsidR="00937F5C">
        <w:rPr>
          <w:i/>
          <w:iCs/>
        </w:rPr>
        <w:t>more items than the previous CARES CRF funds allocated t</w:t>
      </w:r>
      <w:r w:rsidR="00B34F34">
        <w:rPr>
          <w:i/>
          <w:iCs/>
        </w:rPr>
        <w:t>o</w:t>
      </w:r>
      <w:r w:rsidR="00937F5C">
        <w:rPr>
          <w:i/>
          <w:iCs/>
        </w:rPr>
        <w:t xml:space="preserve"> </w:t>
      </w:r>
      <w:r w:rsidR="00B34F34">
        <w:rPr>
          <w:i/>
          <w:iCs/>
        </w:rPr>
        <w:t>c</w:t>
      </w:r>
      <w:r w:rsidR="00937F5C">
        <w:rPr>
          <w:i/>
          <w:iCs/>
        </w:rPr>
        <w:t>it</w:t>
      </w:r>
      <w:r w:rsidR="00B34F34">
        <w:rPr>
          <w:i/>
          <w:iCs/>
        </w:rPr>
        <w:t>ies</w:t>
      </w:r>
      <w:r w:rsidR="00937F5C">
        <w:rPr>
          <w:i/>
          <w:iCs/>
        </w:rPr>
        <w:t xml:space="preserve">, </w:t>
      </w:r>
      <w:r w:rsidR="00B34F34">
        <w:rPr>
          <w:i/>
          <w:iCs/>
        </w:rPr>
        <w:t>t</w:t>
      </w:r>
      <w:r w:rsidR="00937F5C">
        <w:rPr>
          <w:i/>
          <w:iCs/>
        </w:rPr>
        <w:t xml:space="preserve">owns, and </w:t>
      </w:r>
      <w:r w:rsidR="00B34F34">
        <w:rPr>
          <w:i/>
          <w:iCs/>
        </w:rPr>
        <w:t>c</w:t>
      </w:r>
      <w:r w:rsidR="00937F5C">
        <w:rPr>
          <w:i/>
          <w:iCs/>
        </w:rPr>
        <w:t>ounties.</w:t>
      </w:r>
      <w:r w:rsidR="008B75C8">
        <w:rPr>
          <w:i/>
          <w:iCs/>
        </w:rPr>
        <w:t xml:space="preserve"> </w:t>
      </w:r>
      <w:r w:rsidR="00937F5C">
        <w:rPr>
          <w:i/>
          <w:iCs/>
        </w:rPr>
        <w:t xml:space="preserve">  Please review the eligible uses of </w:t>
      </w:r>
      <w:r w:rsidR="00490782">
        <w:rPr>
          <w:i/>
          <w:iCs/>
        </w:rPr>
        <w:t xml:space="preserve">funding prior to making this decision.  If the answer is still </w:t>
      </w:r>
      <w:r w:rsidR="005B46EF">
        <w:rPr>
          <w:i/>
          <w:iCs/>
        </w:rPr>
        <w:t xml:space="preserve">that the city </w:t>
      </w:r>
      <w:r w:rsidR="00B34F34">
        <w:rPr>
          <w:i/>
          <w:iCs/>
        </w:rPr>
        <w:t xml:space="preserve">or town </w:t>
      </w:r>
      <w:r w:rsidR="005B46EF">
        <w:rPr>
          <w:i/>
          <w:iCs/>
        </w:rPr>
        <w:t xml:space="preserve">does not need the funds, </w:t>
      </w:r>
      <w:r w:rsidR="00A06493">
        <w:rPr>
          <w:i/>
          <w:iCs/>
        </w:rPr>
        <w:t xml:space="preserve">please complete the </w:t>
      </w:r>
      <w:r w:rsidR="006259D5">
        <w:rPr>
          <w:i/>
          <w:iCs/>
        </w:rPr>
        <w:t>“</w:t>
      </w:r>
      <w:r w:rsidR="00AE1295">
        <w:rPr>
          <w:i/>
          <w:iCs/>
        </w:rPr>
        <w:t xml:space="preserve">Decline of </w:t>
      </w:r>
      <w:r w:rsidR="00B34F34">
        <w:rPr>
          <w:i/>
          <w:iCs/>
        </w:rPr>
        <w:t>F</w:t>
      </w:r>
      <w:r w:rsidR="00AE1295">
        <w:rPr>
          <w:i/>
          <w:iCs/>
        </w:rPr>
        <w:t>unds” form</w:t>
      </w:r>
      <w:r w:rsidR="00E83EE6">
        <w:rPr>
          <w:i/>
          <w:iCs/>
        </w:rPr>
        <w:t xml:space="preserve"> and return to DFA by June</w:t>
      </w:r>
      <w:r w:rsidR="00AC2257">
        <w:rPr>
          <w:i/>
          <w:iCs/>
        </w:rPr>
        <w:t xml:space="preserve"> 4, 2021.</w:t>
      </w:r>
      <w:r w:rsidR="00E83EE6">
        <w:rPr>
          <w:i/>
          <w:iCs/>
        </w:rPr>
        <w:t xml:space="preserve">  </w:t>
      </w:r>
    </w:p>
    <w:p w14:paraId="28FF1899" w14:textId="1AFA8461" w:rsidR="00AC2257" w:rsidRPr="005913E5" w:rsidRDefault="00AC2257" w:rsidP="00AC2257">
      <w:pPr>
        <w:pStyle w:val="ListParagraph"/>
        <w:numPr>
          <w:ilvl w:val="0"/>
          <w:numId w:val="3"/>
        </w:numPr>
        <w:rPr>
          <w:i/>
          <w:iCs/>
          <w:u w:val="single"/>
        </w:rPr>
      </w:pPr>
      <w:r w:rsidRPr="005913E5">
        <w:rPr>
          <w:u w:val="single"/>
        </w:rPr>
        <w:t xml:space="preserve">Question – </w:t>
      </w:r>
      <w:r>
        <w:rPr>
          <w:u w:val="single"/>
        </w:rPr>
        <w:t>What are eligible uses of this funding?</w:t>
      </w:r>
      <w:r w:rsidR="00AE1295" w:rsidRPr="00AE1295">
        <w:t xml:space="preserve"> </w:t>
      </w:r>
      <w:r w:rsidR="00AE1295">
        <w:rPr>
          <w:u w:val="single"/>
        </w:rPr>
        <w:t>(US TREASURY FACT SHEET)</w:t>
      </w:r>
    </w:p>
    <w:p w14:paraId="5D5F7707" w14:textId="072A28DA" w:rsidR="00AC2257" w:rsidRPr="00B76F9A" w:rsidRDefault="00AC2257" w:rsidP="000F62A5">
      <w:pPr>
        <w:ind w:left="720"/>
        <w:jc w:val="both"/>
        <w:rPr>
          <w:i/>
          <w:iCs/>
        </w:rPr>
      </w:pPr>
      <w:r w:rsidRPr="00B76F9A">
        <w:rPr>
          <w:i/>
          <w:iCs/>
        </w:rPr>
        <w:t>Answer –</w:t>
      </w:r>
      <w:r w:rsidR="00514D51" w:rsidRPr="00B76F9A">
        <w:rPr>
          <w:i/>
          <w:iCs/>
        </w:rPr>
        <w:t xml:space="preserve"> Please see:  </w:t>
      </w:r>
      <w:hyperlink r:id="rId11" w:history="1">
        <w:r w:rsidR="00514D51" w:rsidRPr="00B76F9A">
          <w:rPr>
            <w:rStyle w:val="Hyperlink"/>
            <w:i/>
            <w:iCs/>
          </w:rPr>
          <w:t>SLFRP-Fact-Sheet-FINAL1-508A.pdf (treasury.gov)</w:t>
        </w:r>
      </w:hyperlink>
      <w:r w:rsidR="000C0D85" w:rsidRPr="00B76F9A">
        <w:rPr>
          <w:i/>
          <w:iCs/>
        </w:rPr>
        <w:t xml:space="preserve">  This document was also attached to a</w:t>
      </w:r>
      <w:r w:rsidR="004B228A" w:rsidRPr="00B76F9A">
        <w:rPr>
          <w:i/>
          <w:iCs/>
        </w:rPr>
        <w:t>n email sent out by DFA.</w:t>
      </w:r>
      <w:r w:rsidRPr="00B76F9A">
        <w:rPr>
          <w:i/>
          <w:iCs/>
        </w:rPr>
        <w:t xml:space="preserve"> </w:t>
      </w:r>
      <w:r w:rsidR="00795B2C">
        <w:rPr>
          <w:i/>
          <w:iCs/>
        </w:rPr>
        <w:t xml:space="preserve"> </w:t>
      </w:r>
      <w:r w:rsidR="00B76F9A" w:rsidRPr="00B76F9A">
        <w:rPr>
          <w:i/>
          <w:iCs/>
        </w:rPr>
        <w:t xml:space="preserve">Additional guidance is found </w:t>
      </w:r>
      <w:r w:rsidR="00795B2C">
        <w:rPr>
          <w:i/>
          <w:iCs/>
        </w:rPr>
        <w:t>on the</w:t>
      </w:r>
      <w:r w:rsidR="00B76F9A" w:rsidRPr="00B76F9A">
        <w:rPr>
          <w:i/>
          <w:iCs/>
        </w:rPr>
        <w:t xml:space="preserve"> website.</w:t>
      </w:r>
    </w:p>
    <w:p w14:paraId="59538E95" w14:textId="77777777" w:rsidR="002A2D75" w:rsidRPr="00B76F9A" w:rsidRDefault="002A2D75" w:rsidP="001A355F">
      <w:pPr>
        <w:ind w:left="720"/>
        <w:rPr>
          <w:i/>
          <w:iCs/>
        </w:rPr>
      </w:pPr>
      <w:r w:rsidRPr="00B76F9A">
        <w:rPr>
          <w:i/>
          <w:iCs/>
        </w:rPr>
        <w:t>U.S. Treasury Guidance</w:t>
      </w:r>
    </w:p>
    <w:p w14:paraId="186DB461" w14:textId="24CF0554" w:rsidR="00BB488E" w:rsidRPr="00B76F9A" w:rsidRDefault="002A2D75" w:rsidP="000F62A5">
      <w:pPr>
        <w:ind w:left="720"/>
        <w:jc w:val="both"/>
        <w:rPr>
          <w:i/>
          <w:iCs/>
        </w:rPr>
      </w:pPr>
      <w:r w:rsidRPr="00B76F9A">
        <w:rPr>
          <w:i/>
          <w:iCs/>
        </w:rPr>
        <w:t xml:space="preserve">USES OF FUNDING Coronavirus State and Local Fiscal Recovery Funds provide eligible state, local, territorial, and Tribal governments with a substantial infusion of resources to meet pandemic response needs and rebuild a stronger, more equitable economy as the country recovers. </w:t>
      </w:r>
      <w:r w:rsidR="00795B2C">
        <w:rPr>
          <w:i/>
          <w:iCs/>
        </w:rPr>
        <w:t xml:space="preserve"> </w:t>
      </w:r>
      <w:r w:rsidRPr="00B76F9A">
        <w:rPr>
          <w:i/>
          <w:iCs/>
        </w:rPr>
        <w:t xml:space="preserve">Within the categories of eligible uses, recipients have broad flexibility to decide how best to use this funding to meet the needs of their communities. </w:t>
      </w:r>
      <w:r w:rsidR="00795B2C">
        <w:rPr>
          <w:i/>
          <w:iCs/>
        </w:rPr>
        <w:t xml:space="preserve"> </w:t>
      </w:r>
      <w:r w:rsidRPr="00B76F9A">
        <w:rPr>
          <w:i/>
          <w:iCs/>
        </w:rPr>
        <w:t>Recipients may use Coronavirus State and Local Fiscal Recovery Funds to:</w:t>
      </w:r>
    </w:p>
    <w:p w14:paraId="79AA5F3D" w14:textId="1814B36E" w:rsidR="00BB488E" w:rsidRPr="00B76F9A" w:rsidRDefault="002A2D75" w:rsidP="000F62A5">
      <w:pPr>
        <w:ind w:left="1440" w:firstLine="45"/>
        <w:jc w:val="both"/>
        <w:rPr>
          <w:i/>
          <w:iCs/>
        </w:rPr>
      </w:pPr>
      <w:r w:rsidRPr="00B76F9A">
        <w:rPr>
          <w:i/>
          <w:iCs/>
        </w:rPr>
        <w:t>• Support public health expenditures, by funding COVID-19 mitigation efforts, medical expenses, behavioral healthcare, and certain public health and safety staff;</w:t>
      </w:r>
    </w:p>
    <w:p w14:paraId="0747364B" w14:textId="77777777" w:rsidR="00BB488E" w:rsidRPr="00B76F9A" w:rsidRDefault="002A2D75" w:rsidP="000F62A5">
      <w:pPr>
        <w:ind w:left="1440"/>
        <w:jc w:val="both"/>
        <w:rPr>
          <w:i/>
          <w:iCs/>
        </w:rPr>
      </w:pPr>
      <w:r w:rsidRPr="00B76F9A">
        <w:rPr>
          <w:i/>
          <w:iCs/>
        </w:rPr>
        <w:t xml:space="preserve"> • Address negative economic impacts caused by the public health emergency, including economic harms to workers, households, small businesses, impacted industries, and the public sector;</w:t>
      </w:r>
    </w:p>
    <w:p w14:paraId="15D48EC7" w14:textId="77777777" w:rsidR="00BB488E" w:rsidRPr="00B76F9A" w:rsidRDefault="002A2D75" w:rsidP="000F62A5">
      <w:pPr>
        <w:ind w:left="1440"/>
        <w:jc w:val="both"/>
        <w:rPr>
          <w:i/>
          <w:iCs/>
        </w:rPr>
      </w:pPr>
      <w:r w:rsidRPr="00B76F9A">
        <w:rPr>
          <w:i/>
          <w:iCs/>
        </w:rPr>
        <w:t xml:space="preserve"> • Replace lost public sector revenue, using this funding to provide government services to the extent of the reduction in revenue experienced due to the pandemic; </w:t>
      </w:r>
    </w:p>
    <w:p w14:paraId="4BC9699A" w14:textId="77777777" w:rsidR="00BB488E" w:rsidRPr="00B76F9A" w:rsidRDefault="002A2D75" w:rsidP="000F62A5">
      <w:pPr>
        <w:ind w:left="1440"/>
        <w:jc w:val="both"/>
        <w:rPr>
          <w:i/>
          <w:iCs/>
        </w:rPr>
      </w:pPr>
      <w:r w:rsidRPr="00B76F9A">
        <w:rPr>
          <w:i/>
          <w:iCs/>
        </w:rPr>
        <w:t xml:space="preserve">• Provide premium pay for essential workers, offering additional support to those who have borne and will bear the greatest health risks because of their service in critical infrastructure sectors; and, </w:t>
      </w:r>
    </w:p>
    <w:p w14:paraId="3728286F" w14:textId="167619D3" w:rsidR="005E1C33" w:rsidRPr="00B76F9A" w:rsidRDefault="002A2D75" w:rsidP="000F62A5">
      <w:pPr>
        <w:ind w:left="1440"/>
        <w:jc w:val="both"/>
        <w:rPr>
          <w:i/>
          <w:iCs/>
        </w:rPr>
      </w:pPr>
      <w:r w:rsidRPr="00B76F9A">
        <w:rPr>
          <w:i/>
          <w:iCs/>
        </w:rPr>
        <w:t>• Invest in water, sewer, and broadband infrastructure, making necessary investments to improve access to clean drinking water, support vital wastewater and stormwater infrastructure, and to expand access to broadband internet.</w:t>
      </w:r>
    </w:p>
    <w:p w14:paraId="43F7136C" w14:textId="1F28E58C" w:rsidR="003E3355" w:rsidRDefault="003E3355" w:rsidP="000F62A5">
      <w:pPr>
        <w:jc w:val="both"/>
      </w:pPr>
    </w:p>
    <w:p w14:paraId="7EFAEB8B" w14:textId="7B2B42D5" w:rsidR="000F62A5" w:rsidRDefault="000F62A5" w:rsidP="000F62A5">
      <w:pPr>
        <w:jc w:val="both"/>
      </w:pPr>
    </w:p>
    <w:p w14:paraId="45AFD1A6" w14:textId="7F100CF5" w:rsidR="000F62A5" w:rsidRDefault="000F62A5" w:rsidP="000F62A5">
      <w:pPr>
        <w:jc w:val="both"/>
      </w:pPr>
      <w:r>
        <w:t xml:space="preserve">The U.S. Treasury has provided guidance to State and Local Governments regarding these funds.  Please review the material available and continue to monitor their website for updates and additional clarifications.  </w:t>
      </w:r>
      <w:hyperlink r:id="rId12" w:history="1">
        <w:r>
          <w:rPr>
            <w:rStyle w:val="Hyperlink"/>
          </w:rPr>
          <w:t>Assistance for State, Local, and Tribal Governments | U.S. Department of the Treasury</w:t>
        </w:r>
      </w:hyperlink>
      <w:r>
        <w:t xml:space="preserve">  </w:t>
      </w:r>
    </w:p>
    <w:sectPr w:rsidR="000F6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9053D"/>
    <w:multiLevelType w:val="hybridMultilevel"/>
    <w:tmpl w:val="27B805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9411FF"/>
    <w:multiLevelType w:val="hybridMultilevel"/>
    <w:tmpl w:val="42868F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FF233F"/>
    <w:multiLevelType w:val="hybridMultilevel"/>
    <w:tmpl w:val="BA1E8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A761A"/>
    <w:multiLevelType w:val="hybridMultilevel"/>
    <w:tmpl w:val="323698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300218"/>
    <w:multiLevelType w:val="hybridMultilevel"/>
    <w:tmpl w:val="215ADB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0C1E2D"/>
    <w:multiLevelType w:val="hybridMultilevel"/>
    <w:tmpl w:val="C292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AA1FD3"/>
    <w:multiLevelType w:val="hybridMultilevel"/>
    <w:tmpl w:val="15C44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2A45AF"/>
    <w:multiLevelType w:val="hybridMultilevel"/>
    <w:tmpl w:val="614ABB70"/>
    <w:lvl w:ilvl="0" w:tplc="4016E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7"/>
  </w:num>
  <w:num w:numId="4">
    <w:abstractNumId w:val="0"/>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355"/>
    <w:rsid w:val="000C0D85"/>
    <w:rsid w:val="000F62A5"/>
    <w:rsid w:val="00136FC0"/>
    <w:rsid w:val="001A355F"/>
    <w:rsid w:val="002275E4"/>
    <w:rsid w:val="00276867"/>
    <w:rsid w:val="002A2D75"/>
    <w:rsid w:val="0030128E"/>
    <w:rsid w:val="003A51BD"/>
    <w:rsid w:val="003B6941"/>
    <w:rsid w:val="003C43A8"/>
    <w:rsid w:val="003E3355"/>
    <w:rsid w:val="00490782"/>
    <w:rsid w:val="004B228A"/>
    <w:rsid w:val="00514D51"/>
    <w:rsid w:val="00531209"/>
    <w:rsid w:val="005913E5"/>
    <w:rsid w:val="005A5D19"/>
    <w:rsid w:val="005B44E2"/>
    <w:rsid w:val="005B46EF"/>
    <w:rsid w:val="005E1C33"/>
    <w:rsid w:val="006259D5"/>
    <w:rsid w:val="00635B53"/>
    <w:rsid w:val="00656F48"/>
    <w:rsid w:val="00657D09"/>
    <w:rsid w:val="006907B1"/>
    <w:rsid w:val="00731483"/>
    <w:rsid w:val="00795B2C"/>
    <w:rsid w:val="007E58E1"/>
    <w:rsid w:val="00854AFD"/>
    <w:rsid w:val="008B75C8"/>
    <w:rsid w:val="00937F5C"/>
    <w:rsid w:val="00A06493"/>
    <w:rsid w:val="00AC2257"/>
    <w:rsid w:val="00AE1295"/>
    <w:rsid w:val="00B34F34"/>
    <w:rsid w:val="00B366F3"/>
    <w:rsid w:val="00B76F9A"/>
    <w:rsid w:val="00BB488E"/>
    <w:rsid w:val="00BD6FB8"/>
    <w:rsid w:val="00C04147"/>
    <w:rsid w:val="00E60640"/>
    <w:rsid w:val="00E83EE6"/>
    <w:rsid w:val="00F92533"/>
    <w:rsid w:val="00F9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585B"/>
  <w15:chartTrackingRefBased/>
  <w15:docId w15:val="{04599708-39D2-40D1-8A6A-F6CCFC19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355"/>
    <w:pPr>
      <w:ind w:left="720"/>
      <w:contextualSpacing/>
    </w:pPr>
  </w:style>
  <w:style w:type="character" w:styleId="Hyperlink">
    <w:name w:val="Hyperlink"/>
    <w:basedOn w:val="DefaultParagraphFont"/>
    <w:uiPriority w:val="99"/>
    <w:unhideWhenUsed/>
    <w:rsid w:val="00514D51"/>
    <w:rPr>
      <w:color w:val="0000FF"/>
      <w:u w:val="single"/>
    </w:rPr>
  </w:style>
  <w:style w:type="paragraph" w:styleId="BalloonText">
    <w:name w:val="Balloon Text"/>
    <w:basedOn w:val="Normal"/>
    <w:link w:val="BalloonTextChar"/>
    <w:uiPriority w:val="99"/>
    <w:semiHidden/>
    <w:unhideWhenUsed/>
    <w:rsid w:val="00F97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16"/>
    <w:rPr>
      <w:rFonts w:ascii="Segoe UI" w:hAnsi="Segoe UI" w:cs="Segoe UI"/>
      <w:sz w:val="18"/>
      <w:szCs w:val="18"/>
    </w:rPr>
  </w:style>
  <w:style w:type="paragraph" w:styleId="NoSpacing">
    <w:name w:val="No Spacing"/>
    <w:uiPriority w:val="1"/>
    <w:qFormat/>
    <w:rsid w:val="003C43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me.treasury.gov/policy-issues/coronavirus/assistance-for-state-local-and-tribal-govern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me.treasury.gov/system/files/136/SLFRP-Fact-Sheet-FINAL1-508A.pdf" TargetMode="External"/><Relationship Id="rId5" Type="http://schemas.openxmlformats.org/officeDocument/2006/relationships/numbering" Target="numbering.xml"/><Relationship Id="rId10" Type="http://schemas.openxmlformats.org/officeDocument/2006/relationships/hyperlink" Target="https://home.treasury.gov/system/files/136/Title_VI_Assurances.pdf" TargetMode="External"/><Relationship Id="rId4" Type="http://schemas.openxmlformats.org/officeDocument/2006/relationships/customXml" Target="../customXml/item4.xml"/><Relationship Id="rId9" Type="http://schemas.openxmlformats.org/officeDocument/2006/relationships/hyperlink" Target="https://home.treasury.gov/system/files/136/NEU_Award_Terms_and_Condit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691943B435854AB13EDFA8E86DD3A9" ma:contentTypeVersion="11" ma:contentTypeDescription="Create a new document." ma:contentTypeScope="" ma:versionID="9b72aa05d34bc236bc913cb32eae3ddd">
  <xsd:schema xmlns:xsd="http://www.w3.org/2001/XMLSchema" xmlns:xs="http://www.w3.org/2001/XMLSchema" xmlns:p="http://schemas.microsoft.com/office/2006/metadata/properties" xmlns:ns3="cb71a782-24de-4b74-a658-fc8866bff6f8" xmlns:ns4="f73cb089-de63-47a6-891f-eab375f25610" targetNamespace="http://schemas.microsoft.com/office/2006/metadata/properties" ma:root="true" ma:fieldsID="df3eba263c0d32c692baecf444409643" ns3:_="" ns4:_="">
    <xsd:import namespace="cb71a782-24de-4b74-a658-fc8866bff6f8"/>
    <xsd:import namespace="f73cb089-de63-47a6-891f-eab375f256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1a782-24de-4b74-a658-fc8866bff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cb089-de63-47a6-891f-eab375f256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40DC3-8899-4F8C-A9FB-E52E8B50AB4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73cb089-de63-47a6-891f-eab375f25610"/>
    <ds:schemaRef ds:uri="http://purl.org/dc/terms/"/>
    <ds:schemaRef ds:uri="http://schemas.openxmlformats.org/package/2006/metadata/core-properties"/>
    <ds:schemaRef ds:uri="cb71a782-24de-4b74-a658-fc8866bff6f8"/>
    <ds:schemaRef ds:uri="http://www.w3.org/XML/1998/namespace"/>
    <ds:schemaRef ds:uri="http://purl.org/dc/dcmitype/"/>
  </ds:schemaRefs>
</ds:datastoreItem>
</file>

<file path=customXml/itemProps2.xml><?xml version="1.0" encoding="utf-8"?>
<ds:datastoreItem xmlns:ds="http://schemas.openxmlformats.org/officeDocument/2006/customXml" ds:itemID="{A3DE4E4F-A173-41DD-9168-BB66924B7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1a782-24de-4b74-a658-fc8866bff6f8"/>
    <ds:schemaRef ds:uri="f73cb089-de63-47a6-891f-eab375f25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0E62F-A043-48B0-BBAD-24A014B446DE}">
  <ds:schemaRefs>
    <ds:schemaRef ds:uri="http://schemas.microsoft.com/sharepoint/v3/contenttype/forms"/>
  </ds:schemaRefs>
</ds:datastoreItem>
</file>

<file path=customXml/itemProps4.xml><?xml version="1.0" encoding="utf-8"?>
<ds:datastoreItem xmlns:ds="http://schemas.openxmlformats.org/officeDocument/2006/customXml" ds:itemID="{7D5FAD52-A3D5-4A21-8DFD-3A495B9B8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1116</Words>
  <Characters>6364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Crawford</dc:creator>
  <cp:keywords/>
  <dc:description/>
  <cp:lastModifiedBy>Stacy Crawford</cp:lastModifiedBy>
  <cp:revision>2</cp:revision>
  <dcterms:created xsi:type="dcterms:W3CDTF">2021-06-01T12:09:00Z</dcterms:created>
  <dcterms:modified xsi:type="dcterms:W3CDTF">2021-06-01T12:09:00Z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0x010100D6691943B435854AB13EDFA8E86DD3A9</vt:lpwstr>
  </property>
</Properties>
</file>