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0D2C6" w14:textId="77777777" w:rsidR="00AE51EE" w:rsidRDefault="00AE51EE" w:rsidP="00AE51EE">
      <w:pPr>
        <w:jc w:val="center"/>
        <w:rPr>
          <w:sz w:val="44"/>
          <w:szCs w:val="44"/>
        </w:rPr>
      </w:pPr>
      <w:r>
        <w:rPr>
          <w:sz w:val="44"/>
          <w:szCs w:val="44"/>
        </w:rPr>
        <w:t>Non-Entitlement Units</w:t>
      </w:r>
    </w:p>
    <w:p w14:paraId="3942C4D4" w14:textId="77777777" w:rsidR="00AE51EE" w:rsidRDefault="00AE51EE" w:rsidP="00AE51EE">
      <w:pPr>
        <w:jc w:val="center"/>
        <w:rPr>
          <w:b/>
          <w:bCs/>
          <w:sz w:val="28"/>
          <w:szCs w:val="28"/>
        </w:rPr>
      </w:pPr>
      <w:r>
        <w:rPr>
          <w:b/>
          <w:bCs/>
          <w:sz w:val="28"/>
          <w:szCs w:val="28"/>
        </w:rPr>
        <w:t>Premium Pay Explored</w:t>
      </w:r>
    </w:p>
    <w:p w14:paraId="5185DD1E" w14:textId="77777777" w:rsidR="00AE51EE" w:rsidRDefault="00AE51EE" w:rsidP="00AE51EE">
      <w:pPr>
        <w:rPr>
          <w:b/>
          <w:bCs/>
          <w:sz w:val="24"/>
          <w:szCs w:val="24"/>
        </w:rPr>
      </w:pPr>
    </w:p>
    <w:p w14:paraId="1780BB84" w14:textId="77777777" w:rsidR="00AE51EE" w:rsidRDefault="00AE51EE" w:rsidP="00AE51EE">
      <w:pPr>
        <w:rPr>
          <w:sz w:val="24"/>
          <w:szCs w:val="24"/>
          <w:u w:val="single"/>
        </w:rPr>
      </w:pPr>
      <w:r>
        <w:rPr>
          <w:sz w:val="24"/>
          <w:szCs w:val="24"/>
          <w:u w:val="single"/>
        </w:rPr>
        <w:t>Facts about Premium Pay</w:t>
      </w:r>
    </w:p>
    <w:p w14:paraId="40A674D8" w14:textId="77777777" w:rsidR="00AE51EE" w:rsidRDefault="00AE51EE" w:rsidP="00AE51EE">
      <w:pPr>
        <w:pStyle w:val="ListParagraph"/>
        <w:numPr>
          <w:ilvl w:val="0"/>
          <w:numId w:val="1"/>
        </w:numPr>
        <w:rPr>
          <w:rFonts w:eastAsia="Times New Roman"/>
          <w:sz w:val="24"/>
          <w:szCs w:val="24"/>
        </w:rPr>
      </w:pPr>
      <w:r>
        <w:rPr>
          <w:rFonts w:eastAsia="Times New Roman"/>
          <w:sz w:val="24"/>
          <w:szCs w:val="24"/>
        </w:rPr>
        <w:t xml:space="preserve">Payment up to $13.00 per hour in addition to normal wages </w:t>
      </w:r>
    </w:p>
    <w:p w14:paraId="4CDD5DA8" w14:textId="77777777" w:rsidR="00AE51EE" w:rsidRDefault="00AE51EE" w:rsidP="00AE51EE">
      <w:pPr>
        <w:pStyle w:val="ListParagraph"/>
        <w:numPr>
          <w:ilvl w:val="0"/>
          <w:numId w:val="1"/>
        </w:numPr>
        <w:rPr>
          <w:rFonts w:eastAsia="Times New Roman"/>
          <w:sz w:val="24"/>
          <w:szCs w:val="24"/>
        </w:rPr>
      </w:pPr>
      <w:r>
        <w:rPr>
          <w:rFonts w:eastAsia="Times New Roman"/>
          <w:sz w:val="24"/>
          <w:szCs w:val="24"/>
        </w:rPr>
        <w:t>Maximum pay to one employee is $25K</w:t>
      </w:r>
    </w:p>
    <w:p w14:paraId="635ED20B" w14:textId="77777777" w:rsidR="00AE51EE" w:rsidRDefault="00AE51EE" w:rsidP="00AE51EE">
      <w:pPr>
        <w:pStyle w:val="ListParagraph"/>
        <w:numPr>
          <w:ilvl w:val="0"/>
          <w:numId w:val="1"/>
        </w:numPr>
        <w:rPr>
          <w:rFonts w:eastAsia="Times New Roman"/>
          <w:sz w:val="24"/>
          <w:szCs w:val="24"/>
        </w:rPr>
      </w:pPr>
      <w:r>
        <w:rPr>
          <w:rFonts w:eastAsia="Times New Roman"/>
          <w:sz w:val="24"/>
          <w:szCs w:val="24"/>
        </w:rPr>
        <w:t>Can cover work performed from January 27, 2020</w:t>
      </w:r>
    </w:p>
    <w:p w14:paraId="47ACCBEF" w14:textId="77777777" w:rsidR="00AE51EE" w:rsidRDefault="00AE51EE" w:rsidP="00AE51EE">
      <w:pPr>
        <w:rPr>
          <w:b/>
          <w:bCs/>
          <w:color w:val="FFC000"/>
          <w:sz w:val="24"/>
          <w:szCs w:val="24"/>
        </w:rPr>
      </w:pPr>
      <w:r>
        <w:rPr>
          <w:b/>
          <w:bCs/>
          <w:color w:val="FFC000"/>
          <w:sz w:val="24"/>
          <w:szCs w:val="24"/>
        </w:rPr>
        <w:t>Who is eligible to receive Premium Pay?</w:t>
      </w:r>
    </w:p>
    <w:p w14:paraId="4B1864CB" w14:textId="77777777" w:rsidR="00AE51EE" w:rsidRDefault="00AE51EE" w:rsidP="00AE51EE">
      <w:pPr>
        <w:pStyle w:val="ListParagraph"/>
        <w:numPr>
          <w:ilvl w:val="0"/>
          <w:numId w:val="2"/>
        </w:numPr>
        <w:rPr>
          <w:rFonts w:eastAsia="Times New Roman"/>
          <w:sz w:val="24"/>
          <w:szCs w:val="24"/>
        </w:rPr>
      </w:pPr>
      <w:r>
        <w:rPr>
          <w:rFonts w:eastAsia="Times New Roman"/>
          <w:sz w:val="24"/>
          <w:szCs w:val="24"/>
        </w:rPr>
        <w:t xml:space="preserve">Eligible workers performing </w:t>
      </w:r>
      <w:r>
        <w:rPr>
          <w:rFonts w:eastAsia="Times New Roman"/>
          <w:sz w:val="24"/>
          <w:szCs w:val="24"/>
          <w:u w:val="single"/>
        </w:rPr>
        <w:t>essential work</w:t>
      </w:r>
    </w:p>
    <w:p w14:paraId="01DF98D7" w14:textId="77777777" w:rsidR="00AE51EE" w:rsidRDefault="00AE51EE" w:rsidP="00AE51EE">
      <w:pPr>
        <w:pStyle w:val="ListParagraph"/>
        <w:numPr>
          <w:ilvl w:val="0"/>
          <w:numId w:val="2"/>
        </w:numPr>
        <w:rPr>
          <w:rFonts w:eastAsia="Times New Roman"/>
          <w:sz w:val="24"/>
          <w:szCs w:val="24"/>
        </w:rPr>
      </w:pPr>
      <w:r>
        <w:rPr>
          <w:rFonts w:eastAsia="Times New Roman"/>
          <w:sz w:val="24"/>
          <w:szCs w:val="24"/>
        </w:rPr>
        <w:t>Individuals NOT working from home</w:t>
      </w:r>
    </w:p>
    <w:p w14:paraId="79F72274" w14:textId="77777777" w:rsidR="00AE51EE" w:rsidRDefault="00AE51EE" w:rsidP="00AE51EE">
      <w:pPr>
        <w:pStyle w:val="ListParagraph"/>
        <w:numPr>
          <w:ilvl w:val="0"/>
          <w:numId w:val="2"/>
        </w:numPr>
        <w:rPr>
          <w:rFonts w:eastAsia="Times New Roman"/>
          <w:sz w:val="24"/>
          <w:szCs w:val="24"/>
        </w:rPr>
      </w:pPr>
      <w:r>
        <w:rPr>
          <w:rFonts w:eastAsia="Times New Roman"/>
          <w:sz w:val="24"/>
          <w:szCs w:val="24"/>
        </w:rPr>
        <w:t>Eligible worker as defined by the U.S. Treasury -</w:t>
      </w:r>
      <w:r>
        <w:rPr>
          <w:rFonts w:eastAsia="Times New Roman"/>
          <w:color w:val="212121"/>
          <w:sz w:val="24"/>
          <w:szCs w:val="24"/>
        </w:rPr>
        <w:t xml:space="preserve"> workers needed to maintain continuity of operations of essential critical infrastructure sectors</w:t>
      </w:r>
    </w:p>
    <w:p w14:paraId="18F1BEBF" w14:textId="77777777" w:rsidR="00AE51EE" w:rsidRDefault="00AE51EE" w:rsidP="00AE51EE">
      <w:pPr>
        <w:pStyle w:val="ListParagraph"/>
        <w:numPr>
          <w:ilvl w:val="1"/>
          <w:numId w:val="2"/>
        </w:numPr>
        <w:rPr>
          <w:rFonts w:eastAsia="Times New Roman"/>
          <w:sz w:val="24"/>
          <w:szCs w:val="24"/>
        </w:rPr>
      </w:pPr>
      <w:r>
        <w:rPr>
          <w:rFonts w:eastAsia="Times New Roman"/>
          <w:color w:val="212121"/>
          <w:sz w:val="24"/>
          <w:szCs w:val="24"/>
        </w:rPr>
        <w:t>Examples include:</w:t>
      </w:r>
    </w:p>
    <w:tbl>
      <w:tblPr>
        <w:tblW w:w="5000" w:type="pct"/>
        <w:tblCellMar>
          <w:left w:w="0" w:type="dxa"/>
          <w:right w:w="0" w:type="dxa"/>
        </w:tblCellMar>
        <w:tblLook w:val="04A0" w:firstRow="1" w:lastRow="0" w:firstColumn="1" w:lastColumn="0" w:noHBand="0" w:noVBand="1"/>
      </w:tblPr>
      <w:tblGrid>
        <w:gridCol w:w="9141"/>
        <w:gridCol w:w="219"/>
      </w:tblGrid>
      <w:tr w:rsidR="00AE51EE" w14:paraId="642D48B6" w14:textId="77777777" w:rsidTr="00AE51EE">
        <w:trPr>
          <w:trHeight w:val="312"/>
        </w:trPr>
        <w:tc>
          <w:tcPr>
            <w:tcW w:w="4882" w:type="pct"/>
            <w:noWrap/>
            <w:tcMar>
              <w:top w:w="0" w:type="dxa"/>
              <w:left w:w="108" w:type="dxa"/>
              <w:bottom w:w="0" w:type="dxa"/>
              <w:right w:w="108" w:type="dxa"/>
            </w:tcMar>
            <w:vAlign w:val="bottom"/>
            <w:hideMark/>
          </w:tcPr>
          <w:tbl>
            <w:tblPr>
              <w:tblW w:w="10860" w:type="dxa"/>
              <w:tblCellMar>
                <w:left w:w="0" w:type="dxa"/>
                <w:right w:w="0" w:type="dxa"/>
              </w:tblCellMar>
              <w:tblLook w:val="04A0" w:firstRow="1" w:lastRow="0" w:firstColumn="1" w:lastColumn="0" w:noHBand="0" w:noVBand="1"/>
            </w:tblPr>
            <w:tblGrid>
              <w:gridCol w:w="4461"/>
              <w:gridCol w:w="4444"/>
            </w:tblGrid>
            <w:tr w:rsidR="00AE51EE" w14:paraId="328DAC3E" w14:textId="77777777">
              <w:trPr>
                <w:trHeight w:val="312"/>
              </w:trPr>
              <w:tc>
                <w:tcPr>
                  <w:tcW w:w="5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2F6082" w14:textId="77777777" w:rsidR="00AE51EE" w:rsidRDefault="00AE51EE">
                  <w:pPr>
                    <w:rPr>
                      <w:color w:val="212121"/>
                      <w:sz w:val="24"/>
                      <w:szCs w:val="24"/>
                    </w:rPr>
                  </w:pPr>
                  <w:r>
                    <w:rPr>
                      <w:color w:val="212121"/>
                      <w:sz w:val="24"/>
                      <w:szCs w:val="24"/>
                    </w:rPr>
                    <w:t>Health care workers</w:t>
                  </w:r>
                </w:p>
              </w:tc>
              <w:tc>
                <w:tcPr>
                  <w:tcW w:w="54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961AC3" w14:textId="77777777" w:rsidR="00AE51EE" w:rsidRDefault="00AE51EE">
                  <w:pPr>
                    <w:rPr>
                      <w:color w:val="000000"/>
                      <w:sz w:val="24"/>
                      <w:szCs w:val="24"/>
                    </w:rPr>
                  </w:pPr>
                  <w:r>
                    <w:rPr>
                      <w:color w:val="000000"/>
                      <w:sz w:val="24"/>
                      <w:szCs w:val="24"/>
                    </w:rPr>
                    <w:t>Emergency response workers</w:t>
                  </w:r>
                </w:p>
              </w:tc>
            </w:tr>
            <w:tr w:rsidR="00AE51EE" w14:paraId="21AE97F4"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1594AE" w14:textId="77777777" w:rsidR="00AE51EE" w:rsidRDefault="00AE51EE">
                  <w:pPr>
                    <w:rPr>
                      <w:color w:val="212121"/>
                      <w:sz w:val="24"/>
                      <w:szCs w:val="24"/>
                    </w:rPr>
                  </w:pPr>
                  <w:r>
                    <w:rPr>
                      <w:color w:val="212121"/>
                      <w:sz w:val="24"/>
                      <w:szCs w:val="24"/>
                    </w:rPr>
                    <w:t>Sanitation, disinfection, and cleaning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575A1" w14:textId="77777777" w:rsidR="00AE51EE" w:rsidRDefault="00AE51EE">
                  <w:pPr>
                    <w:rPr>
                      <w:color w:val="212121"/>
                      <w:sz w:val="24"/>
                      <w:szCs w:val="24"/>
                    </w:rPr>
                  </w:pPr>
                  <w:r>
                    <w:rPr>
                      <w:color w:val="212121"/>
                      <w:sz w:val="24"/>
                      <w:szCs w:val="24"/>
                    </w:rPr>
                    <w:t>Behavioral health workers</w:t>
                  </w:r>
                </w:p>
              </w:tc>
            </w:tr>
            <w:tr w:rsidR="00AE51EE" w14:paraId="371A39CD"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08336C" w14:textId="77777777" w:rsidR="00AE51EE" w:rsidRDefault="00AE51EE">
                  <w:pPr>
                    <w:rPr>
                      <w:color w:val="000000"/>
                      <w:sz w:val="24"/>
                      <w:szCs w:val="24"/>
                    </w:rPr>
                  </w:pPr>
                  <w:r>
                    <w:rPr>
                      <w:color w:val="000000"/>
                      <w:sz w:val="24"/>
                      <w:szCs w:val="24"/>
                    </w:rPr>
                    <w:t>Maintenance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99086" w14:textId="77777777" w:rsidR="00AE51EE" w:rsidRDefault="00AE51EE">
                  <w:pPr>
                    <w:rPr>
                      <w:color w:val="212121"/>
                      <w:sz w:val="24"/>
                      <w:szCs w:val="24"/>
                    </w:rPr>
                  </w:pPr>
                  <w:r>
                    <w:rPr>
                      <w:color w:val="212121"/>
                      <w:sz w:val="24"/>
                      <w:szCs w:val="24"/>
                    </w:rPr>
                    <w:t>Medical testing and diagnostic workers</w:t>
                  </w:r>
                </w:p>
              </w:tc>
            </w:tr>
            <w:tr w:rsidR="00AE51EE" w14:paraId="5E5F9F6C"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282E24" w14:textId="77777777" w:rsidR="00AE51EE" w:rsidRDefault="00AE51EE">
                  <w:pPr>
                    <w:rPr>
                      <w:color w:val="000000"/>
                      <w:sz w:val="24"/>
                      <w:szCs w:val="24"/>
                    </w:rPr>
                  </w:pPr>
                  <w:r>
                    <w:rPr>
                      <w:color w:val="000000"/>
                      <w:sz w:val="24"/>
                      <w:szCs w:val="24"/>
                    </w:rPr>
                    <w:t>Grocery stores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EC531" w14:textId="77777777" w:rsidR="00AE51EE" w:rsidRDefault="00AE51EE">
                  <w:pPr>
                    <w:rPr>
                      <w:color w:val="212121"/>
                      <w:sz w:val="24"/>
                      <w:szCs w:val="24"/>
                    </w:rPr>
                  </w:pPr>
                  <w:r>
                    <w:rPr>
                      <w:color w:val="212121"/>
                      <w:sz w:val="24"/>
                      <w:szCs w:val="24"/>
                    </w:rPr>
                    <w:t>Home and Community based health care workers</w:t>
                  </w:r>
                </w:p>
              </w:tc>
            </w:tr>
            <w:tr w:rsidR="00AE51EE" w14:paraId="0D2CE982"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73DC09" w14:textId="77777777" w:rsidR="00AE51EE" w:rsidRDefault="00AE51EE">
                  <w:pPr>
                    <w:rPr>
                      <w:color w:val="212121"/>
                      <w:sz w:val="24"/>
                      <w:szCs w:val="24"/>
                    </w:rPr>
                  </w:pPr>
                  <w:r>
                    <w:rPr>
                      <w:color w:val="212121"/>
                      <w:sz w:val="24"/>
                      <w:szCs w:val="24"/>
                    </w:rPr>
                    <w:t>Restaurants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D0B08" w14:textId="77777777" w:rsidR="00AE51EE" w:rsidRDefault="00AE51EE">
                  <w:pPr>
                    <w:rPr>
                      <w:color w:val="212121"/>
                      <w:sz w:val="24"/>
                      <w:szCs w:val="24"/>
                    </w:rPr>
                  </w:pPr>
                  <w:r>
                    <w:rPr>
                      <w:color w:val="212121"/>
                      <w:sz w:val="24"/>
                      <w:szCs w:val="24"/>
                    </w:rPr>
                    <w:t xml:space="preserve">Assistance workers for activities of daily living </w:t>
                  </w:r>
                </w:p>
              </w:tc>
            </w:tr>
            <w:tr w:rsidR="00AE51EE" w14:paraId="086D81AC"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06CB2A" w14:textId="77777777" w:rsidR="00AE51EE" w:rsidRDefault="00AE51EE">
                  <w:pPr>
                    <w:rPr>
                      <w:color w:val="212121"/>
                      <w:sz w:val="24"/>
                      <w:szCs w:val="24"/>
                    </w:rPr>
                  </w:pPr>
                  <w:r>
                    <w:rPr>
                      <w:color w:val="212121"/>
                      <w:sz w:val="24"/>
                      <w:szCs w:val="24"/>
                    </w:rPr>
                    <w:t>Food production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CC0CF" w14:textId="77777777" w:rsidR="00AE51EE" w:rsidRDefault="00AE51EE">
                  <w:pPr>
                    <w:rPr>
                      <w:color w:val="212121"/>
                      <w:sz w:val="24"/>
                      <w:szCs w:val="24"/>
                    </w:rPr>
                  </w:pPr>
                  <w:r>
                    <w:rPr>
                      <w:color w:val="212121"/>
                      <w:sz w:val="24"/>
                      <w:szCs w:val="24"/>
                    </w:rPr>
                    <w:t>Family or childcare workers</w:t>
                  </w:r>
                </w:p>
              </w:tc>
            </w:tr>
            <w:tr w:rsidR="00AE51EE" w14:paraId="24F45763"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1446FF" w14:textId="77777777" w:rsidR="00AE51EE" w:rsidRDefault="00AE51EE">
                  <w:pPr>
                    <w:rPr>
                      <w:color w:val="212121"/>
                      <w:sz w:val="24"/>
                      <w:szCs w:val="24"/>
                    </w:rPr>
                  </w:pPr>
                  <w:r>
                    <w:rPr>
                      <w:color w:val="212121"/>
                      <w:sz w:val="24"/>
                      <w:szCs w:val="24"/>
                    </w:rPr>
                    <w:t>Food delivery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F4A895" w14:textId="77777777" w:rsidR="00AE51EE" w:rsidRDefault="00AE51EE">
                  <w:pPr>
                    <w:rPr>
                      <w:color w:val="212121"/>
                      <w:sz w:val="24"/>
                      <w:szCs w:val="24"/>
                    </w:rPr>
                  </w:pPr>
                  <w:r>
                    <w:rPr>
                      <w:color w:val="212121"/>
                      <w:sz w:val="24"/>
                      <w:szCs w:val="24"/>
                    </w:rPr>
                    <w:t>Social services workers</w:t>
                  </w:r>
                </w:p>
              </w:tc>
            </w:tr>
            <w:tr w:rsidR="00AE51EE" w14:paraId="3377C3E1"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94316" w14:textId="77777777" w:rsidR="00AE51EE" w:rsidRDefault="00AE51EE">
                  <w:pPr>
                    <w:rPr>
                      <w:color w:val="212121"/>
                      <w:sz w:val="24"/>
                      <w:szCs w:val="24"/>
                    </w:rPr>
                  </w:pPr>
                  <w:r>
                    <w:rPr>
                      <w:color w:val="212121"/>
                      <w:sz w:val="24"/>
                      <w:szCs w:val="24"/>
                    </w:rPr>
                    <w:t>Pharmacy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F7FD4" w14:textId="77777777" w:rsidR="00AE51EE" w:rsidRDefault="00AE51EE">
                  <w:pPr>
                    <w:rPr>
                      <w:color w:val="212121"/>
                      <w:sz w:val="24"/>
                      <w:szCs w:val="24"/>
                    </w:rPr>
                  </w:pPr>
                  <w:r>
                    <w:rPr>
                      <w:color w:val="212121"/>
                      <w:sz w:val="24"/>
                      <w:szCs w:val="24"/>
                    </w:rPr>
                    <w:t>Public Health workers</w:t>
                  </w:r>
                </w:p>
              </w:tc>
            </w:tr>
            <w:tr w:rsidR="00AE51EE" w14:paraId="4B84925A"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A25CBE" w14:textId="77777777" w:rsidR="00AE51EE" w:rsidRDefault="00AE51EE">
                  <w:pPr>
                    <w:rPr>
                      <w:color w:val="212121"/>
                      <w:sz w:val="24"/>
                      <w:szCs w:val="24"/>
                    </w:rPr>
                  </w:pPr>
                  <w:r>
                    <w:rPr>
                      <w:color w:val="212121"/>
                      <w:sz w:val="24"/>
                      <w:szCs w:val="24"/>
                    </w:rPr>
                    <w:t>Biomedical research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C9BDF" w14:textId="77777777" w:rsidR="00AE51EE" w:rsidRDefault="00AE51EE">
                  <w:pPr>
                    <w:rPr>
                      <w:color w:val="000000"/>
                      <w:sz w:val="24"/>
                      <w:szCs w:val="24"/>
                    </w:rPr>
                  </w:pPr>
                  <w:r>
                    <w:rPr>
                      <w:color w:val="000000"/>
                      <w:sz w:val="24"/>
                      <w:szCs w:val="24"/>
                    </w:rPr>
                    <w:t>Local government workers</w:t>
                  </w:r>
                </w:p>
              </w:tc>
            </w:tr>
            <w:tr w:rsidR="00AE51EE" w14:paraId="35FE2ACE"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EF6674" w14:textId="77777777" w:rsidR="00AE51EE" w:rsidRDefault="00AE51EE">
                  <w:pPr>
                    <w:rPr>
                      <w:color w:val="000000"/>
                      <w:sz w:val="24"/>
                      <w:szCs w:val="24"/>
                    </w:rPr>
                  </w:pPr>
                  <w:r>
                    <w:rPr>
                      <w:color w:val="000000"/>
                      <w:sz w:val="24"/>
                      <w:szCs w:val="24"/>
                    </w:rPr>
                    <w:t>School nutrition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A4F39" w14:textId="77777777" w:rsidR="00AE51EE" w:rsidRDefault="00AE51EE">
                  <w:pPr>
                    <w:rPr>
                      <w:color w:val="000000"/>
                      <w:sz w:val="24"/>
                      <w:szCs w:val="24"/>
                    </w:rPr>
                  </w:pPr>
                  <w:r>
                    <w:rPr>
                      <w:color w:val="000000"/>
                      <w:sz w:val="24"/>
                      <w:szCs w:val="24"/>
                    </w:rPr>
                    <w:t>Education workers</w:t>
                  </w:r>
                </w:p>
              </w:tc>
            </w:tr>
            <w:tr w:rsidR="00AE51EE" w14:paraId="2E899599"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BCE64B" w14:textId="77777777" w:rsidR="00AE51EE" w:rsidRDefault="00AE51EE">
                  <w:pPr>
                    <w:rPr>
                      <w:color w:val="000000"/>
                      <w:sz w:val="24"/>
                      <w:szCs w:val="24"/>
                    </w:rPr>
                  </w:pPr>
                  <w:r>
                    <w:rPr>
                      <w:color w:val="000000"/>
                      <w:sz w:val="24"/>
                      <w:szCs w:val="24"/>
                    </w:rPr>
                    <w:t>Additional workers to operate a school</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DBB3B2" w14:textId="77777777" w:rsidR="00AE51EE" w:rsidRDefault="00AE51EE">
                  <w:pPr>
                    <w:rPr>
                      <w:color w:val="000000"/>
                      <w:sz w:val="24"/>
                      <w:szCs w:val="24"/>
                    </w:rPr>
                  </w:pPr>
                  <w:r>
                    <w:rPr>
                      <w:color w:val="000000"/>
                      <w:sz w:val="24"/>
                      <w:szCs w:val="24"/>
                    </w:rPr>
                    <w:t>Laundry workers</w:t>
                  </w:r>
                </w:p>
              </w:tc>
            </w:tr>
            <w:tr w:rsidR="00AE51EE" w14:paraId="46EE9D18" w14:textId="77777777">
              <w:trPr>
                <w:trHeight w:val="624"/>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CD191" w14:textId="77777777" w:rsidR="00AE51EE" w:rsidRDefault="00AE51EE">
                  <w:pPr>
                    <w:rPr>
                      <w:color w:val="000000"/>
                      <w:sz w:val="24"/>
                      <w:szCs w:val="24"/>
                    </w:rPr>
                  </w:pPr>
                  <w:r>
                    <w:rPr>
                      <w:color w:val="000000"/>
                      <w:sz w:val="24"/>
                      <w:szCs w:val="24"/>
                    </w:rPr>
                    <w:t>Election workers</w:t>
                  </w:r>
                </w:p>
              </w:tc>
              <w:tc>
                <w:tcPr>
                  <w:tcW w:w="5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40905B" w14:textId="77777777" w:rsidR="00AE51EE" w:rsidRDefault="00AE51EE">
                  <w:pPr>
                    <w:rPr>
                      <w:color w:val="000000"/>
                      <w:sz w:val="24"/>
                      <w:szCs w:val="24"/>
                    </w:rPr>
                  </w:pPr>
                  <w:r>
                    <w:rPr>
                      <w:color w:val="000000"/>
                      <w:sz w:val="24"/>
                      <w:szCs w:val="24"/>
                    </w:rPr>
                    <w:t>Solid waste or hazardous materials management, response, and cleanup workers</w:t>
                  </w:r>
                </w:p>
              </w:tc>
            </w:tr>
            <w:tr w:rsidR="00AE51EE" w14:paraId="3A4D0ABA" w14:textId="77777777">
              <w:trPr>
                <w:trHeight w:val="312"/>
              </w:trPr>
              <w:tc>
                <w:tcPr>
                  <w:tcW w:w="5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0D77BC" w14:textId="77777777" w:rsidR="00AE51EE" w:rsidRDefault="00AE51EE">
                  <w:pPr>
                    <w:rPr>
                      <w:color w:val="000000"/>
                      <w:sz w:val="24"/>
                      <w:szCs w:val="24"/>
                    </w:rPr>
                  </w:pPr>
                  <w:r>
                    <w:rPr>
                      <w:color w:val="000000"/>
                      <w:sz w:val="24"/>
                      <w:szCs w:val="24"/>
                    </w:rPr>
                    <w:t>Dental care workers</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75537" w14:textId="77777777" w:rsidR="00AE51EE" w:rsidRDefault="00AE51EE">
                  <w:pPr>
                    <w:rPr>
                      <w:color w:val="000000"/>
                      <w:sz w:val="24"/>
                      <w:szCs w:val="24"/>
                    </w:rPr>
                  </w:pPr>
                  <w:r>
                    <w:rPr>
                      <w:color w:val="000000"/>
                      <w:sz w:val="24"/>
                      <w:szCs w:val="24"/>
                    </w:rPr>
                    <w:t>Transportation and warehousing workers</w:t>
                  </w:r>
                </w:p>
              </w:tc>
            </w:tr>
            <w:tr w:rsidR="00AE51EE" w14:paraId="1D67082A" w14:textId="77777777">
              <w:trPr>
                <w:trHeight w:val="936"/>
              </w:trPr>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A1630E" w14:textId="77777777" w:rsidR="00AE51EE" w:rsidRDefault="00AE51EE">
                  <w:pPr>
                    <w:rPr>
                      <w:color w:val="000000"/>
                      <w:sz w:val="24"/>
                      <w:szCs w:val="24"/>
                    </w:rPr>
                  </w:pPr>
                  <w:r>
                    <w:rPr>
                      <w:color w:val="000000"/>
                      <w:sz w:val="24"/>
                      <w:szCs w:val="24"/>
                    </w:rPr>
                    <w:t>Hotel or commercial lodging facility workers when facility used for a COVID-19 mitigation and containment unit</w:t>
                  </w:r>
                </w:p>
              </w:tc>
              <w:tc>
                <w:tcPr>
                  <w:tcW w:w="54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61CFA1" w14:textId="77777777" w:rsidR="00AE51EE" w:rsidRDefault="00AE51EE">
                  <w:pPr>
                    <w:rPr>
                      <w:color w:val="000000"/>
                      <w:sz w:val="24"/>
                      <w:szCs w:val="24"/>
                    </w:rPr>
                  </w:pPr>
                  <w:r>
                    <w:rPr>
                      <w:color w:val="000000"/>
                      <w:sz w:val="24"/>
                      <w:szCs w:val="24"/>
                    </w:rPr>
                    <w:t>Mortuary workers</w:t>
                  </w:r>
                </w:p>
              </w:tc>
            </w:tr>
            <w:tr w:rsidR="00AE51EE" w14:paraId="6CFB59AB" w14:textId="77777777">
              <w:trPr>
                <w:trHeight w:val="624"/>
              </w:trPr>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B10156" w14:textId="77777777" w:rsidR="00AE51EE" w:rsidRDefault="00AE51EE">
                  <w:pPr>
                    <w:rPr>
                      <w:color w:val="000000"/>
                      <w:sz w:val="24"/>
                      <w:szCs w:val="24"/>
                    </w:rPr>
                  </w:pPr>
                  <w:r>
                    <w:rPr>
                      <w:color w:val="000000"/>
                      <w:sz w:val="24"/>
                      <w:szCs w:val="24"/>
                    </w:rPr>
                    <w:t>Critical clinical research, development, and testing workers necessary for COVID-19 response</w:t>
                  </w:r>
                </w:p>
              </w:tc>
              <w:tc>
                <w:tcPr>
                  <w:tcW w:w="54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8CFE0E" w14:textId="77777777" w:rsidR="00AE51EE" w:rsidRDefault="00AE51EE">
                  <w:pPr>
                    <w:rPr>
                      <w:color w:val="000000"/>
                      <w:sz w:val="24"/>
                      <w:szCs w:val="24"/>
                    </w:rPr>
                  </w:pPr>
                  <w:r>
                    <w:rPr>
                      <w:color w:val="000000"/>
                      <w:sz w:val="24"/>
                      <w:szCs w:val="24"/>
                    </w:rPr>
                    <w:t> </w:t>
                  </w:r>
                </w:p>
              </w:tc>
            </w:tr>
          </w:tbl>
          <w:p w14:paraId="01ABD542" w14:textId="77777777" w:rsidR="00AE51EE" w:rsidRDefault="00AE51EE">
            <w:pPr>
              <w:rPr>
                <w:rFonts w:ascii="Times New Roman" w:eastAsia="Times New Roman" w:hAnsi="Times New Roman" w:cs="Times New Roman"/>
                <w:sz w:val="20"/>
                <w:szCs w:val="20"/>
              </w:rPr>
            </w:pPr>
          </w:p>
        </w:tc>
        <w:tc>
          <w:tcPr>
            <w:tcW w:w="118" w:type="pct"/>
            <w:noWrap/>
            <w:tcMar>
              <w:top w:w="0" w:type="dxa"/>
              <w:left w:w="108" w:type="dxa"/>
              <w:bottom w:w="0" w:type="dxa"/>
              <w:right w:w="108" w:type="dxa"/>
            </w:tcMar>
            <w:vAlign w:val="bottom"/>
          </w:tcPr>
          <w:p w14:paraId="3820FA40" w14:textId="77777777" w:rsidR="00AE51EE" w:rsidRDefault="00AE51EE">
            <w:pPr>
              <w:rPr>
                <w:color w:val="000000"/>
                <w:sz w:val="24"/>
                <w:szCs w:val="24"/>
              </w:rPr>
            </w:pPr>
          </w:p>
        </w:tc>
      </w:tr>
      <w:tr w:rsidR="00AE51EE" w14:paraId="3D3AFEB1" w14:textId="77777777" w:rsidTr="00AE51EE">
        <w:trPr>
          <w:trHeight w:val="312"/>
        </w:trPr>
        <w:tc>
          <w:tcPr>
            <w:tcW w:w="4882" w:type="pct"/>
            <w:noWrap/>
            <w:tcMar>
              <w:top w:w="0" w:type="dxa"/>
              <w:left w:w="108" w:type="dxa"/>
              <w:bottom w:w="0" w:type="dxa"/>
              <w:right w:w="108" w:type="dxa"/>
            </w:tcMar>
            <w:vAlign w:val="center"/>
          </w:tcPr>
          <w:p w14:paraId="384B4855" w14:textId="77777777" w:rsidR="00AE51EE" w:rsidRDefault="00AE51EE">
            <w:pPr>
              <w:rPr>
                <w:color w:val="000000"/>
                <w:sz w:val="24"/>
                <w:szCs w:val="24"/>
              </w:rPr>
            </w:pPr>
          </w:p>
        </w:tc>
        <w:tc>
          <w:tcPr>
            <w:tcW w:w="118" w:type="pct"/>
            <w:noWrap/>
            <w:tcMar>
              <w:top w:w="0" w:type="dxa"/>
              <w:left w:w="108" w:type="dxa"/>
              <w:bottom w:w="0" w:type="dxa"/>
              <w:right w:w="108" w:type="dxa"/>
            </w:tcMar>
            <w:vAlign w:val="bottom"/>
          </w:tcPr>
          <w:p w14:paraId="3B22B308" w14:textId="77777777" w:rsidR="00AE51EE" w:rsidRDefault="00AE51EE">
            <w:pPr>
              <w:rPr>
                <w:color w:val="212121"/>
                <w:sz w:val="24"/>
                <w:szCs w:val="24"/>
              </w:rPr>
            </w:pPr>
          </w:p>
        </w:tc>
      </w:tr>
      <w:tr w:rsidR="00AE51EE" w14:paraId="30783DE3" w14:textId="77777777" w:rsidTr="00AE51EE">
        <w:trPr>
          <w:trHeight w:val="312"/>
        </w:trPr>
        <w:tc>
          <w:tcPr>
            <w:tcW w:w="4882" w:type="pct"/>
            <w:noWrap/>
            <w:tcMar>
              <w:top w:w="0" w:type="dxa"/>
              <w:left w:w="108" w:type="dxa"/>
              <w:bottom w:w="0" w:type="dxa"/>
              <w:right w:w="108" w:type="dxa"/>
            </w:tcMar>
            <w:vAlign w:val="center"/>
            <w:hideMark/>
          </w:tcPr>
          <w:p w14:paraId="1B499C67" w14:textId="77777777" w:rsidR="00AE51EE" w:rsidRDefault="00AE51EE">
            <w:pPr>
              <w:rPr>
                <w:b/>
                <w:bCs/>
                <w:color w:val="FF0000"/>
                <w:sz w:val="24"/>
                <w:szCs w:val="24"/>
              </w:rPr>
            </w:pPr>
            <w:r>
              <w:rPr>
                <w:b/>
                <w:bCs/>
                <w:color w:val="FF0000"/>
                <w:sz w:val="24"/>
                <w:szCs w:val="24"/>
              </w:rPr>
              <w:t>What is considered essential work?</w:t>
            </w:r>
          </w:p>
          <w:p w14:paraId="7201D58F" w14:textId="77777777" w:rsidR="00AE51EE" w:rsidRDefault="00AE51EE">
            <w:pPr>
              <w:pStyle w:val="ListParagraph"/>
              <w:numPr>
                <w:ilvl w:val="0"/>
                <w:numId w:val="2"/>
              </w:numPr>
              <w:rPr>
                <w:rFonts w:eastAsia="Times New Roman"/>
                <w:sz w:val="24"/>
                <w:szCs w:val="24"/>
              </w:rPr>
            </w:pPr>
            <w:r>
              <w:rPr>
                <w:rFonts w:eastAsia="Times New Roman"/>
                <w:sz w:val="24"/>
                <w:szCs w:val="24"/>
              </w:rPr>
              <w:lastRenderedPageBreak/>
              <w:t>Work that is NOT done while working from home (teleworking is NOT eligible)</w:t>
            </w:r>
          </w:p>
          <w:p w14:paraId="4B6ACD5A" w14:textId="77777777" w:rsidR="00AE51EE" w:rsidRDefault="00AE51EE">
            <w:pPr>
              <w:pStyle w:val="ListParagraph"/>
              <w:numPr>
                <w:ilvl w:val="0"/>
                <w:numId w:val="2"/>
              </w:numPr>
              <w:rPr>
                <w:rFonts w:eastAsia="Times New Roman"/>
                <w:color w:val="212121"/>
                <w:sz w:val="24"/>
                <w:szCs w:val="24"/>
              </w:rPr>
            </w:pPr>
            <w:r>
              <w:rPr>
                <w:rFonts w:eastAsia="Times New Roman"/>
                <w:sz w:val="24"/>
                <w:szCs w:val="24"/>
              </w:rPr>
              <w:t>In-person interactions with patients, coworkers, and/or the public</w:t>
            </w:r>
          </w:p>
          <w:p w14:paraId="5B54E004" w14:textId="77777777" w:rsidR="00AE51EE" w:rsidRDefault="00AE51EE">
            <w:pPr>
              <w:pStyle w:val="ListParagraph"/>
              <w:numPr>
                <w:ilvl w:val="0"/>
                <w:numId w:val="2"/>
              </w:numPr>
              <w:rPr>
                <w:rFonts w:eastAsia="Times New Roman"/>
                <w:color w:val="212121"/>
                <w:sz w:val="24"/>
                <w:szCs w:val="24"/>
              </w:rPr>
            </w:pPr>
            <w:r>
              <w:rPr>
                <w:rFonts w:eastAsia="Times New Roman"/>
                <w:color w:val="212121"/>
                <w:sz w:val="24"/>
                <w:szCs w:val="24"/>
              </w:rPr>
              <w:t>Regular physical handling of items that were handled by patients, coworkers, or the public</w:t>
            </w:r>
          </w:p>
        </w:tc>
        <w:tc>
          <w:tcPr>
            <w:tcW w:w="118" w:type="pct"/>
            <w:noWrap/>
            <w:tcMar>
              <w:top w:w="0" w:type="dxa"/>
              <w:left w:w="108" w:type="dxa"/>
              <w:bottom w:w="0" w:type="dxa"/>
              <w:right w:w="108" w:type="dxa"/>
            </w:tcMar>
            <w:vAlign w:val="bottom"/>
          </w:tcPr>
          <w:p w14:paraId="6222EFFD" w14:textId="77777777" w:rsidR="00AE51EE" w:rsidRDefault="00AE51EE">
            <w:pPr>
              <w:rPr>
                <w:color w:val="212121"/>
                <w:sz w:val="24"/>
                <w:szCs w:val="24"/>
              </w:rPr>
            </w:pPr>
          </w:p>
          <w:p w14:paraId="715DA462" w14:textId="77777777" w:rsidR="00AE51EE" w:rsidRDefault="00AE51EE">
            <w:pPr>
              <w:rPr>
                <w:color w:val="212121"/>
                <w:sz w:val="24"/>
                <w:szCs w:val="24"/>
              </w:rPr>
            </w:pPr>
          </w:p>
        </w:tc>
      </w:tr>
      <w:tr w:rsidR="00AE51EE" w14:paraId="62D64EF3" w14:textId="77777777" w:rsidTr="00AE51EE">
        <w:trPr>
          <w:trHeight w:val="312"/>
        </w:trPr>
        <w:tc>
          <w:tcPr>
            <w:tcW w:w="4882" w:type="pct"/>
            <w:noWrap/>
            <w:tcMar>
              <w:top w:w="0" w:type="dxa"/>
              <w:left w:w="108" w:type="dxa"/>
              <w:bottom w:w="0" w:type="dxa"/>
              <w:right w:w="108" w:type="dxa"/>
            </w:tcMar>
            <w:vAlign w:val="center"/>
          </w:tcPr>
          <w:p w14:paraId="0FEAF1BA" w14:textId="77777777" w:rsidR="00AE51EE" w:rsidRDefault="00AE51EE">
            <w:pPr>
              <w:rPr>
                <w:b/>
                <w:bCs/>
                <w:color w:val="00B0F0"/>
                <w:sz w:val="24"/>
                <w:szCs w:val="24"/>
              </w:rPr>
            </w:pPr>
            <w:r>
              <w:rPr>
                <w:b/>
                <w:bCs/>
                <w:color w:val="00B0F0"/>
                <w:sz w:val="24"/>
                <w:szCs w:val="24"/>
              </w:rPr>
              <w:lastRenderedPageBreak/>
              <w:t>How do we use the funding?</w:t>
            </w:r>
          </w:p>
          <w:p w14:paraId="43483241" w14:textId="77777777" w:rsidR="00AE51EE" w:rsidRDefault="00AE51EE">
            <w:pPr>
              <w:pStyle w:val="ListParagraph"/>
              <w:numPr>
                <w:ilvl w:val="0"/>
                <w:numId w:val="3"/>
              </w:numPr>
              <w:spacing w:after="0" w:line="240" w:lineRule="auto"/>
              <w:rPr>
                <w:rFonts w:eastAsia="Times New Roman"/>
                <w:color w:val="212121"/>
                <w:sz w:val="24"/>
                <w:szCs w:val="24"/>
              </w:rPr>
            </w:pPr>
            <w:r>
              <w:rPr>
                <w:rFonts w:eastAsia="Times New Roman"/>
                <w:color w:val="212121"/>
                <w:sz w:val="24"/>
                <w:szCs w:val="24"/>
              </w:rPr>
              <w:t>For local government employees</w:t>
            </w:r>
          </w:p>
          <w:p w14:paraId="43BCBE9B" w14:textId="77777777" w:rsidR="00AE51EE" w:rsidRDefault="00AE51EE">
            <w:pPr>
              <w:pStyle w:val="ListParagraph"/>
              <w:numPr>
                <w:ilvl w:val="1"/>
                <w:numId w:val="3"/>
              </w:numPr>
              <w:spacing w:after="0" w:line="240" w:lineRule="auto"/>
              <w:rPr>
                <w:rFonts w:eastAsia="Times New Roman"/>
                <w:color w:val="212121"/>
                <w:sz w:val="24"/>
                <w:szCs w:val="24"/>
              </w:rPr>
            </w:pPr>
            <w:r>
              <w:rPr>
                <w:rFonts w:eastAsia="Times New Roman"/>
                <w:color w:val="212121"/>
                <w:sz w:val="24"/>
                <w:szCs w:val="24"/>
              </w:rPr>
              <w:t>Calculate the amount to be paid on an hourly basis for actual hours the employee has been or will be compensated</w:t>
            </w:r>
          </w:p>
          <w:p w14:paraId="3AE915BA" w14:textId="77777777" w:rsidR="00AE51EE" w:rsidRDefault="00AE51EE">
            <w:pPr>
              <w:pStyle w:val="ListParagraph"/>
              <w:numPr>
                <w:ilvl w:val="0"/>
                <w:numId w:val="3"/>
              </w:numPr>
              <w:spacing w:after="0" w:line="240" w:lineRule="auto"/>
              <w:rPr>
                <w:rFonts w:eastAsia="Times New Roman"/>
                <w:color w:val="212121"/>
                <w:sz w:val="24"/>
                <w:szCs w:val="24"/>
              </w:rPr>
            </w:pPr>
            <w:r>
              <w:rPr>
                <w:rFonts w:eastAsia="Times New Roman"/>
                <w:color w:val="212121"/>
                <w:sz w:val="24"/>
                <w:szCs w:val="24"/>
              </w:rPr>
              <w:t>For local industries</w:t>
            </w:r>
          </w:p>
          <w:p w14:paraId="1AF35D1C" w14:textId="77777777" w:rsidR="00AE51EE" w:rsidRDefault="00AE51EE">
            <w:pPr>
              <w:pStyle w:val="ListParagraph"/>
              <w:numPr>
                <w:ilvl w:val="1"/>
                <w:numId w:val="3"/>
              </w:numPr>
              <w:spacing w:after="0" w:line="240" w:lineRule="auto"/>
              <w:rPr>
                <w:rFonts w:eastAsia="Times New Roman"/>
                <w:color w:val="212121"/>
                <w:sz w:val="24"/>
                <w:szCs w:val="24"/>
              </w:rPr>
            </w:pPr>
            <w:r>
              <w:rPr>
                <w:rFonts w:eastAsia="Times New Roman"/>
                <w:color w:val="212121"/>
                <w:sz w:val="24"/>
                <w:szCs w:val="24"/>
              </w:rPr>
              <w:t>Local government will need to provide a sub-recipient agreement to the local industry for an allotted amount for premium pay</w:t>
            </w:r>
          </w:p>
          <w:p w14:paraId="0547BB2A" w14:textId="77777777" w:rsidR="00AE51EE" w:rsidRDefault="00AE51EE">
            <w:pPr>
              <w:rPr>
                <w:color w:val="212121"/>
                <w:sz w:val="24"/>
                <w:szCs w:val="24"/>
              </w:rPr>
            </w:pPr>
          </w:p>
        </w:tc>
        <w:tc>
          <w:tcPr>
            <w:tcW w:w="118" w:type="pct"/>
            <w:noWrap/>
            <w:tcMar>
              <w:top w:w="0" w:type="dxa"/>
              <w:left w:w="108" w:type="dxa"/>
              <w:bottom w:w="0" w:type="dxa"/>
              <w:right w:w="108" w:type="dxa"/>
            </w:tcMar>
            <w:vAlign w:val="bottom"/>
          </w:tcPr>
          <w:p w14:paraId="2BE3F261" w14:textId="77777777" w:rsidR="00AE51EE" w:rsidRDefault="00AE51EE">
            <w:pPr>
              <w:rPr>
                <w:color w:val="212121"/>
                <w:sz w:val="24"/>
                <w:szCs w:val="24"/>
              </w:rPr>
            </w:pPr>
          </w:p>
        </w:tc>
      </w:tr>
      <w:tr w:rsidR="00AE51EE" w14:paraId="71CB930F" w14:textId="77777777" w:rsidTr="00AE51EE">
        <w:trPr>
          <w:trHeight w:val="312"/>
        </w:trPr>
        <w:tc>
          <w:tcPr>
            <w:tcW w:w="4882" w:type="pct"/>
            <w:noWrap/>
            <w:tcMar>
              <w:top w:w="0" w:type="dxa"/>
              <w:left w:w="108" w:type="dxa"/>
              <w:bottom w:w="0" w:type="dxa"/>
              <w:right w:w="108" w:type="dxa"/>
            </w:tcMar>
            <w:vAlign w:val="bottom"/>
          </w:tcPr>
          <w:p w14:paraId="529FA6B4" w14:textId="77777777" w:rsidR="00AE51EE" w:rsidRDefault="00AE51EE">
            <w:pPr>
              <w:rPr>
                <w:b/>
                <w:bCs/>
                <w:color w:val="92D050"/>
                <w:sz w:val="24"/>
                <w:szCs w:val="24"/>
              </w:rPr>
            </w:pPr>
            <w:r>
              <w:rPr>
                <w:b/>
                <w:bCs/>
                <w:color w:val="92D050"/>
                <w:sz w:val="24"/>
                <w:szCs w:val="24"/>
              </w:rPr>
              <w:t>What does the funding cover?</w:t>
            </w:r>
          </w:p>
          <w:p w14:paraId="51CB2CD8" w14:textId="77777777" w:rsidR="00AE51EE" w:rsidRDefault="00AE51EE">
            <w:pPr>
              <w:pStyle w:val="ListParagraph"/>
              <w:numPr>
                <w:ilvl w:val="0"/>
                <w:numId w:val="4"/>
              </w:numPr>
              <w:spacing w:after="0" w:line="240" w:lineRule="auto"/>
              <w:rPr>
                <w:rFonts w:eastAsia="Times New Roman"/>
                <w:color w:val="212121"/>
                <w:sz w:val="24"/>
                <w:szCs w:val="24"/>
              </w:rPr>
            </w:pPr>
            <w:r>
              <w:rPr>
                <w:rFonts w:eastAsia="Times New Roman"/>
                <w:color w:val="212121"/>
                <w:sz w:val="24"/>
                <w:szCs w:val="24"/>
              </w:rPr>
              <w:t>Premium pay to employee</w:t>
            </w:r>
          </w:p>
          <w:p w14:paraId="7A84320F" w14:textId="77777777" w:rsidR="00AE51EE" w:rsidRDefault="00AE51EE">
            <w:pPr>
              <w:pStyle w:val="ListParagraph"/>
              <w:numPr>
                <w:ilvl w:val="0"/>
                <w:numId w:val="4"/>
              </w:numPr>
              <w:spacing w:after="0" w:line="240" w:lineRule="auto"/>
              <w:rPr>
                <w:rFonts w:eastAsia="Times New Roman"/>
                <w:color w:val="212121"/>
                <w:sz w:val="24"/>
                <w:szCs w:val="24"/>
              </w:rPr>
            </w:pPr>
            <w:r>
              <w:rPr>
                <w:rFonts w:eastAsia="Times New Roman"/>
                <w:color w:val="212121"/>
                <w:sz w:val="24"/>
                <w:szCs w:val="24"/>
              </w:rPr>
              <w:t>May cover employer costs – retirement, FICA match</w:t>
            </w:r>
            <w:r>
              <w:rPr>
                <w:rStyle w:val="FootnoteReference"/>
                <w:rFonts w:eastAsia="Times New Roman"/>
                <w:color w:val="212121"/>
                <w:sz w:val="24"/>
                <w:szCs w:val="24"/>
              </w:rPr>
              <w:footnoteReference w:customMarkFollows="1" w:id="1"/>
              <w:t>[1]</w:t>
            </w:r>
          </w:p>
          <w:p w14:paraId="3C815040" w14:textId="77777777" w:rsidR="00AE51EE" w:rsidRDefault="00AE51EE">
            <w:pPr>
              <w:pStyle w:val="ListParagraph"/>
              <w:spacing w:after="0" w:line="240" w:lineRule="auto"/>
              <w:rPr>
                <w:color w:val="212121"/>
                <w:sz w:val="24"/>
                <w:szCs w:val="24"/>
              </w:rPr>
            </w:pPr>
          </w:p>
        </w:tc>
        <w:tc>
          <w:tcPr>
            <w:tcW w:w="118" w:type="pct"/>
            <w:noWrap/>
            <w:tcMar>
              <w:top w:w="0" w:type="dxa"/>
              <w:left w:w="108" w:type="dxa"/>
              <w:bottom w:w="0" w:type="dxa"/>
              <w:right w:w="108" w:type="dxa"/>
            </w:tcMar>
            <w:vAlign w:val="bottom"/>
          </w:tcPr>
          <w:p w14:paraId="47F0892E" w14:textId="77777777" w:rsidR="00AE51EE" w:rsidRDefault="00AE51EE">
            <w:pPr>
              <w:rPr>
                <w:color w:val="212121"/>
                <w:sz w:val="24"/>
                <w:szCs w:val="24"/>
              </w:rPr>
            </w:pPr>
          </w:p>
        </w:tc>
      </w:tr>
      <w:tr w:rsidR="00AE51EE" w14:paraId="2BE0B72C" w14:textId="77777777" w:rsidTr="00AE51EE">
        <w:trPr>
          <w:trHeight w:val="312"/>
        </w:trPr>
        <w:tc>
          <w:tcPr>
            <w:tcW w:w="4882" w:type="pct"/>
            <w:noWrap/>
            <w:tcMar>
              <w:top w:w="0" w:type="dxa"/>
              <w:left w:w="108" w:type="dxa"/>
              <w:bottom w:w="0" w:type="dxa"/>
              <w:right w:w="108" w:type="dxa"/>
            </w:tcMar>
            <w:vAlign w:val="bottom"/>
            <w:hideMark/>
          </w:tcPr>
          <w:p w14:paraId="29D58F20" w14:textId="77777777" w:rsidR="00AE51EE" w:rsidRDefault="00AE51EE">
            <w:pPr>
              <w:rPr>
                <w:b/>
                <w:bCs/>
                <w:color w:val="000000"/>
                <w:sz w:val="24"/>
                <w:szCs w:val="24"/>
              </w:rPr>
            </w:pPr>
            <w:r>
              <w:rPr>
                <w:b/>
                <w:bCs/>
                <w:color w:val="7030A0"/>
                <w:sz w:val="24"/>
                <w:szCs w:val="24"/>
              </w:rPr>
              <w:t>What documentation is needed to support the use of funding for premium pay?</w:t>
            </w:r>
          </w:p>
          <w:p w14:paraId="00E08F07" w14:textId="77777777" w:rsidR="00AE51EE" w:rsidRDefault="00AE51EE">
            <w:pPr>
              <w:pStyle w:val="ListParagraph"/>
              <w:numPr>
                <w:ilvl w:val="0"/>
                <w:numId w:val="5"/>
              </w:numPr>
              <w:spacing w:after="0" w:line="240" w:lineRule="auto"/>
              <w:rPr>
                <w:rFonts w:eastAsia="Times New Roman"/>
                <w:color w:val="000000"/>
                <w:sz w:val="24"/>
                <w:szCs w:val="24"/>
              </w:rPr>
            </w:pPr>
            <w:r>
              <w:rPr>
                <w:rFonts w:eastAsia="Times New Roman"/>
                <w:color w:val="000000"/>
                <w:sz w:val="24"/>
                <w:szCs w:val="24"/>
              </w:rPr>
              <w:t>Justification for the following items:</w:t>
            </w:r>
          </w:p>
          <w:p w14:paraId="41DBAF33" w14:textId="77777777" w:rsidR="00AE51EE" w:rsidRDefault="00AE51EE">
            <w:pPr>
              <w:pStyle w:val="ListParagraph"/>
              <w:numPr>
                <w:ilvl w:val="1"/>
                <w:numId w:val="5"/>
              </w:numPr>
              <w:spacing w:after="0" w:line="240" w:lineRule="auto"/>
              <w:rPr>
                <w:rFonts w:eastAsia="Times New Roman"/>
                <w:color w:val="000000"/>
                <w:sz w:val="24"/>
                <w:szCs w:val="24"/>
              </w:rPr>
            </w:pPr>
            <w:r>
              <w:rPr>
                <w:rFonts w:eastAsia="Times New Roman"/>
                <w:color w:val="000000"/>
                <w:sz w:val="24"/>
                <w:szCs w:val="24"/>
              </w:rPr>
              <w:t xml:space="preserve">Which employees received premium pay including documentation of prioritization of low-income employees </w:t>
            </w:r>
          </w:p>
          <w:p w14:paraId="23DCFF16" w14:textId="77777777" w:rsidR="00AE51EE" w:rsidRDefault="00AE51EE">
            <w:pPr>
              <w:pStyle w:val="ListParagraph"/>
              <w:numPr>
                <w:ilvl w:val="1"/>
                <w:numId w:val="5"/>
              </w:numPr>
              <w:spacing w:after="0" w:line="240" w:lineRule="auto"/>
              <w:rPr>
                <w:rFonts w:eastAsia="Times New Roman"/>
                <w:color w:val="000000"/>
                <w:sz w:val="24"/>
                <w:szCs w:val="24"/>
              </w:rPr>
            </w:pPr>
            <w:r>
              <w:rPr>
                <w:rFonts w:eastAsia="Times New Roman"/>
                <w:color w:val="000000"/>
                <w:sz w:val="24"/>
                <w:szCs w:val="24"/>
              </w:rPr>
              <w:t>What type of work each employee performed to justify the employee’s classification as an eligible worker performing essential work</w:t>
            </w:r>
          </w:p>
          <w:p w14:paraId="7032BFD6" w14:textId="77777777" w:rsidR="00AE51EE" w:rsidRDefault="00AE51EE">
            <w:pPr>
              <w:pStyle w:val="ListParagraph"/>
              <w:numPr>
                <w:ilvl w:val="1"/>
                <w:numId w:val="5"/>
              </w:numPr>
              <w:spacing w:after="0" w:line="240" w:lineRule="auto"/>
              <w:rPr>
                <w:rFonts w:eastAsia="Times New Roman"/>
                <w:color w:val="000000"/>
                <w:sz w:val="24"/>
                <w:szCs w:val="24"/>
              </w:rPr>
            </w:pPr>
            <w:r>
              <w:rPr>
                <w:rFonts w:eastAsia="Times New Roman"/>
                <w:color w:val="000000"/>
                <w:sz w:val="24"/>
                <w:szCs w:val="24"/>
              </w:rPr>
              <w:t>How the premium pay calculation was performed including the premium pay hourly amount, the hours considered, and the distribution of funds</w:t>
            </w:r>
          </w:p>
          <w:p w14:paraId="65F67491" w14:textId="77777777" w:rsidR="00AE51EE" w:rsidRDefault="00AE51EE">
            <w:pPr>
              <w:pStyle w:val="ListParagraph"/>
              <w:numPr>
                <w:ilvl w:val="1"/>
                <w:numId w:val="5"/>
              </w:numPr>
              <w:spacing w:after="0" w:line="240" w:lineRule="auto"/>
              <w:rPr>
                <w:rFonts w:eastAsia="Times New Roman"/>
                <w:color w:val="000000"/>
                <w:sz w:val="24"/>
                <w:szCs w:val="24"/>
              </w:rPr>
            </w:pPr>
            <w:r>
              <w:rPr>
                <w:rFonts w:eastAsia="Times New Roman"/>
                <w:sz w:val="24"/>
                <w:szCs w:val="24"/>
              </w:rPr>
              <w:t>How the premium pay or sub-recipient agreement is responsive to workers performing essential work</w:t>
            </w:r>
          </w:p>
        </w:tc>
        <w:tc>
          <w:tcPr>
            <w:tcW w:w="118" w:type="pct"/>
            <w:noWrap/>
            <w:tcMar>
              <w:top w:w="0" w:type="dxa"/>
              <w:left w:w="108" w:type="dxa"/>
              <w:bottom w:w="0" w:type="dxa"/>
              <w:right w:w="108" w:type="dxa"/>
            </w:tcMar>
            <w:vAlign w:val="bottom"/>
          </w:tcPr>
          <w:p w14:paraId="3AE2DA62" w14:textId="77777777" w:rsidR="00AE51EE" w:rsidRDefault="00AE51EE">
            <w:pPr>
              <w:rPr>
                <w:color w:val="000000"/>
                <w:sz w:val="24"/>
                <w:szCs w:val="24"/>
              </w:rPr>
            </w:pPr>
          </w:p>
        </w:tc>
      </w:tr>
      <w:tr w:rsidR="00AE51EE" w14:paraId="52265140" w14:textId="77777777" w:rsidTr="00AE51EE">
        <w:trPr>
          <w:trHeight w:val="312"/>
        </w:trPr>
        <w:tc>
          <w:tcPr>
            <w:tcW w:w="4882" w:type="pct"/>
            <w:noWrap/>
            <w:tcMar>
              <w:top w:w="0" w:type="dxa"/>
              <w:left w:w="108" w:type="dxa"/>
              <w:bottom w:w="0" w:type="dxa"/>
              <w:right w:w="108" w:type="dxa"/>
            </w:tcMar>
            <w:vAlign w:val="bottom"/>
          </w:tcPr>
          <w:p w14:paraId="66DFD718" w14:textId="77777777" w:rsidR="00AE51EE" w:rsidRDefault="00AE51EE">
            <w:pPr>
              <w:rPr>
                <w:color w:val="000000"/>
                <w:sz w:val="24"/>
                <w:szCs w:val="24"/>
              </w:rPr>
            </w:pPr>
          </w:p>
        </w:tc>
        <w:tc>
          <w:tcPr>
            <w:tcW w:w="118" w:type="pct"/>
            <w:noWrap/>
            <w:tcMar>
              <w:top w:w="0" w:type="dxa"/>
              <w:left w:w="108" w:type="dxa"/>
              <w:bottom w:w="0" w:type="dxa"/>
              <w:right w:w="108" w:type="dxa"/>
            </w:tcMar>
            <w:vAlign w:val="bottom"/>
          </w:tcPr>
          <w:p w14:paraId="344B91D4" w14:textId="77777777" w:rsidR="00AE51EE" w:rsidRDefault="00AE51EE">
            <w:pPr>
              <w:rPr>
                <w:color w:val="000000"/>
                <w:sz w:val="24"/>
                <w:szCs w:val="24"/>
              </w:rPr>
            </w:pPr>
          </w:p>
        </w:tc>
      </w:tr>
    </w:tbl>
    <w:p w14:paraId="2307D8EC" w14:textId="77777777" w:rsidR="00AE51EE" w:rsidRDefault="00AE51EE" w:rsidP="00AE51EE">
      <w:pPr>
        <w:rPr>
          <w:sz w:val="28"/>
          <w:szCs w:val="28"/>
        </w:rPr>
      </w:pPr>
      <w:r>
        <w:rPr>
          <w:sz w:val="28"/>
          <w:szCs w:val="28"/>
        </w:rPr>
        <w:t>For additional information see the attached document.</w:t>
      </w:r>
    </w:p>
    <w:p w14:paraId="7F1992F3" w14:textId="77777777" w:rsidR="00AE51EE" w:rsidRDefault="00AE51EE" w:rsidP="00AE51EE">
      <w:pPr>
        <w:rPr>
          <w:sz w:val="28"/>
          <w:szCs w:val="28"/>
        </w:rPr>
      </w:pPr>
      <w:r>
        <w:rPr>
          <w:sz w:val="28"/>
          <w:szCs w:val="28"/>
        </w:rPr>
        <w:t>Remember the U.S. Treasury is always a good source of information:</w:t>
      </w:r>
    </w:p>
    <w:p w14:paraId="13275D7B" w14:textId="77777777" w:rsidR="00AE51EE" w:rsidRDefault="00D83B72" w:rsidP="00AE51EE">
      <w:pPr>
        <w:rPr>
          <w:rStyle w:val="Hyperlink"/>
        </w:rPr>
      </w:pPr>
      <w:hyperlink r:id="rId7" w:history="1">
        <w:r w:rsidR="00AE51EE">
          <w:rPr>
            <w:rStyle w:val="Hyperlink"/>
          </w:rPr>
          <w:t>Coronavirus State and Local Fiscal Recovery Funds | U.S. Department of the Treasury</w:t>
        </w:r>
      </w:hyperlink>
    </w:p>
    <w:p w14:paraId="6839EC0E" w14:textId="77777777" w:rsidR="00AE51EE" w:rsidRDefault="00AE51EE" w:rsidP="00AE51EE">
      <w:r>
        <w:rPr>
          <w:rStyle w:val="Hyperlink"/>
          <w:u w:val="none"/>
        </w:rPr>
        <w:t xml:space="preserve">If you have general questions about the Coronavirus State and Local Fiscal Recovery Funds, please email the U.S. Department of Treasury at </w:t>
      </w:r>
      <w:hyperlink r:id="rId8" w:history="1">
        <w:r>
          <w:rPr>
            <w:rStyle w:val="Hyperlink"/>
          </w:rPr>
          <w:t>SLFRP@treasury.gov</w:t>
        </w:r>
      </w:hyperlink>
      <w:r>
        <w:rPr>
          <w:rStyle w:val="Hyperlink"/>
          <w:u w:val="none"/>
        </w:rPr>
        <w:t xml:space="preserve"> or call 844-529-9527.</w:t>
      </w:r>
    </w:p>
    <w:p w14:paraId="1121D405" w14:textId="77777777" w:rsidR="00AE51EE" w:rsidRDefault="00AE51EE" w:rsidP="00AE51EE"/>
    <w:p w14:paraId="59CF6BC0" w14:textId="77777777" w:rsidR="00AE51EE" w:rsidRDefault="00AE51EE" w:rsidP="00AE51EE">
      <w:r>
        <w:rPr>
          <w:rStyle w:val="FootnoteReference"/>
        </w:rPr>
        <w:t>[1]</w:t>
      </w:r>
      <w:r>
        <w:t xml:space="preserve"> If an employee’s wages and salaries are an eligible use of FRF, recipients may treat the employee’s covered benefits (leave, employee insurance (health, life, dental, vision), retirement (pensions, 401(k), unemployment benefit plans, workers’ comp insurance, and FICA taxes) as an eligible use of FRF.</w:t>
      </w:r>
    </w:p>
    <w:p w14:paraId="6F448B3E" w14:textId="77777777" w:rsidR="009031B3" w:rsidRDefault="009031B3"/>
    <w:sectPr w:rsidR="00903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96BE" w14:textId="77777777" w:rsidR="00D83B72" w:rsidRDefault="00D83B72" w:rsidP="00AE51EE">
      <w:r>
        <w:separator/>
      </w:r>
    </w:p>
  </w:endnote>
  <w:endnote w:type="continuationSeparator" w:id="0">
    <w:p w14:paraId="1245100E" w14:textId="77777777" w:rsidR="00D83B72" w:rsidRDefault="00D83B72" w:rsidP="00A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022E" w14:textId="77777777" w:rsidR="00D83B72" w:rsidRDefault="00D83B72" w:rsidP="00AE51EE">
      <w:r>
        <w:separator/>
      </w:r>
    </w:p>
  </w:footnote>
  <w:footnote w:type="continuationSeparator" w:id="0">
    <w:p w14:paraId="7F200E75" w14:textId="77777777" w:rsidR="00D83B72" w:rsidRDefault="00D83B72" w:rsidP="00AE51EE">
      <w:r>
        <w:continuationSeparator/>
      </w:r>
    </w:p>
  </w:footnote>
  <w:footnote w:id="1">
    <w:p w14:paraId="05659DD7" w14:textId="77777777" w:rsidR="00AE51EE" w:rsidRDefault="00AE51EE" w:rsidP="00AE51EE">
      <w:pPr>
        <w:pStyle w:val="FootnoteText"/>
      </w:pPr>
      <w:r>
        <w:rPr>
          <w:rStyle w:val="FootnoteReference"/>
        </w:rPr>
        <w:t>[1]</w:t>
      </w:r>
      <w:r>
        <w:t xml:space="preserve"> If an employee’s wages and salaries are an eligible use of FRF, recipients may treat the employee’s covered benefits (leave, employee insurance (health, life, dental, vision), retirement (pensions, 401(k), unemployment benefit plans, workers’ comp insurance, and FICA taxes) as an eligible use of FRF.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4777"/>
    <w:multiLevelType w:val="hybridMultilevel"/>
    <w:tmpl w:val="A91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D96FB0"/>
    <w:multiLevelType w:val="hybridMultilevel"/>
    <w:tmpl w:val="E5F4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88059B"/>
    <w:multiLevelType w:val="hybridMultilevel"/>
    <w:tmpl w:val="858A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94259E"/>
    <w:multiLevelType w:val="hybridMultilevel"/>
    <w:tmpl w:val="C5FC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727007"/>
    <w:multiLevelType w:val="hybridMultilevel"/>
    <w:tmpl w:val="FC76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EE"/>
    <w:rsid w:val="00416920"/>
    <w:rsid w:val="009031B3"/>
    <w:rsid w:val="00AE51EE"/>
    <w:rsid w:val="00D8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7A37"/>
  <w15:chartTrackingRefBased/>
  <w15:docId w15:val="{EA78CA7A-B12F-4829-8842-7768C9FF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1EE"/>
    <w:rPr>
      <w:color w:val="0563C1"/>
      <w:u w:val="single"/>
    </w:rPr>
  </w:style>
  <w:style w:type="paragraph" w:styleId="FootnoteText">
    <w:name w:val="footnote text"/>
    <w:basedOn w:val="Normal"/>
    <w:link w:val="FootnoteTextChar"/>
    <w:uiPriority w:val="99"/>
    <w:semiHidden/>
    <w:unhideWhenUsed/>
    <w:rsid w:val="00AE51EE"/>
    <w:rPr>
      <w:sz w:val="20"/>
      <w:szCs w:val="20"/>
    </w:rPr>
  </w:style>
  <w:style w:type="character" w:customStyle="1" w:styleId="FootnoteTextChar">
    <w:name w:val="Footnote Text Char"/>
    <w:basedOn w:val="DefaultParagraphFont"/>
    <w:link w:val="FootnoteText"/>
    <w:uiPriority w:val="99"/>
    <w:semiHidden/>
    <w:rsid w:val="00AE51EE"/>
    <w:rPr>
      <w:rFonts w:ascii="Calibri" w:hAnsi="Calibri" w:cs="Calibri"/>
      <w:sz w:val="20"/>
      <w:szCs w:val="20"/>
    </w:rPr>
  </w:style>
  <w:style w:type="paragraph" w:styleId="ListParagraph">
    <w:name w:val="List Paragraph"/>
    <w:basedOn w:val="Normal"/>
    <w:uiPriority w:val="34"/>
    <w:qFormat/>
    <w:rsid w:val="00AE51EE"/>
    <w:pPr>
      <w:spacing w:after="160" w:line="252" w:lineRule="auto"/>
      <w:ind w:left="720"/>
      <w:contextualSpacing/>
    </w:pPr>
  </w:style>
  <w:style w:type="character" w:styleId="FootnoteReference">
    <w:name w:val="footnote reference"/>
    <w:basedOn w:val="DefaultParagraphFont"/>
    <w:uiPriority w:val="99"/>
    <w:semiHidden/>
    <w:unhideWhenUsed/>
    <w:rsid w:val="00AE5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FRP@treasury.gov" TargetMode="External"/><Relationship Id="rId3" Type="http://schemas.openxmlformats.org/officeDocument/2006/relationships/settings" Target="settings.xml"/><Relationship Id="rId7" Type="http://schemas.openxmlformats.org/officeDocument/2006/relationships/hyperlink" Target="https://home.treasury.gov/policy-issues/coronavirus/assistance-for-state-local-and-tribal-governments/state-and-local-fiscal-recovery-fu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Crawford</dc:creator>
  <cp:keywords/>
  <dc:description/>
  <cp:lastModifiedBy>Sandhya Kombathula</cp:lastModifiedBy>
  <cp:revision>2</cp:revision>
  <dcterms:created xsi:type="dcterms:W3CDTF">2021-08-18T14:22:00Z</dcterms:created>
  <dcterms:modified xsi:type="dcterms:W3CDTF">2021-08-18T14:22:00Z</dcterms:modified>
</cp:coreProperties>
</file>